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szCs w:val="24"/>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816546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8165465"/>
                    </a:xfrm>
                    <a:prstGeom prst="rect">
                      <a:avLst/>
                    </a:prstGeom>
                  </pic:spPr>
                </pic:pic>
              </a:graphicData>
            </a:graphic>
          </wp:anchor>
        </w:drawing>
      </w:r>
    </w:p>
    <w:p>
      <w:pPr>
        <w:pStyle w:val="Normal"/>
        <w:spacing w:before="0" w:after="0"/>
        <w:jc w:val="center"/>
        <w:rPr>
          <w:rFonts w:ascii="Times New Roman" w:hAnsi="Times New Roman" w:cs="Times New Roman"/>
          <w:szCs w:val="24"/>
        </w:rPr>
      </w:pPr>
      <w:r>
        <w:rPr/>
      </w:r>
    </w:p>
    <w:p>
      <w:pPr>
        <w:pStyle w:val="Normal"/>
        <w:spacing w:before="0" w:after="0"/>
        <w:jc w:val="center"/>
        <w:rPr>
          <w:rFonts w:ascii="Times New Roman" w:hAnsi="Times New Roman" w:cs="Times New Roman"/>
          <w:szCs w:val="24"/>
        </w:rPr>
      </w:pPr>
      <w:r>
        <w:rPr/>
      </w:r>
    </w:p>
    <w:p>
      <w:pPr>
        <w:pStyle w:val="Normal"/>
        <w:spacing w:before="0" w:after="0"/>
        <w:jc w:val="center"/>
        <w:rPr>
          <w:rFonts w:ascii="Times New Roman" w:hAnsi="Times New Roman" w:cs="Times New Roman"/>
          <w:szCs w:val="24"/>
        </w:rPr>
      </w:pPr>
      <w:r>
        <w:rPr/>
      </w:r>
    </w:p>
    <w:p>
      <w:pPr>
        <w:pStyle w:val="Normal"/>
        <w:spacing w:before="0" w:after="0"/>
        <w:jc w:val="center"/>
        <w:rPr>
          <w:rFonts w:ascii="Times New Roman" w:hAnsi="Times New Roman" w:cs="Times New Roman"/>
          <w:szCs w:val="24"/>
        </w:rPr>
      </w:pPr>
      <w:r>
        <w:rPr/>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и среднего общего образования (далее – ФОП НОО, ООО и СОО), локальными нормативными актами Школы.</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Содержание образования определяют основные образовательные программы начального общего, основного общего и среднего общего образования (далее – ООП НОО, ООО и СОО), разработанные в соответствии с ФОП НОО, ООО и СОО, в том числе в которых содержание и планируемые результаты не ниже тех, что указаны в ФОП НОО, ООО и СОО. При разработке ООП Школа непосредственно использовала:</w:t>
      </w:r>
    </w:p>
    <w:p>
      <w:pPr>
        <w:pStyle w:val="Normal"/>
        <w:numPr>
          <w:ilvl w:val="0"/>
          <w:numId w:val="1"/>
        </w:numPr>
        <w:spacing w:before="28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федеральные рабочие программы по учебным предметам «Русский язык», «Литературное чтение», «Окружающий мир» (с 01.09.2024 «Труд (технология)»)— для ООП НОО;</w:t>
      </w:r>
    </w:p>
    <w:p>
      <w:pPr>
        <w:pStyle w:val="Normal"/>
        <w:numPr>
          <w:ilvl w:val="0"/>
          <w:numId w:val="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(с 01.09.2024 «Основы безопасности и защиты Родины» и «Труд (технология)») — для ООП ООО и ООП СОО;</w:t>
      </w:r>
    </w:p>
    <w:p>
      <w:pPr>
        <w:pStyle w:val="Normal"/>
        <w:numPr>
          <w:ilvl w:val="0"/>
          <w:numId w:val="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программы формирования универсальных учебных действий у учащихся;</w:t>
      </w:r>
    </w:p>
    <w:p>
      <w:pPr>
        <w:pStyle w:val="Normal"/>
        <w:numPr>
          <w:ilvl w:val="0"/>
          <w:numId w:val="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федеральные рабочие программы воспитания;</w:t>
      </w:r>
    </w:p>
    <w:p>
      <w:pPr>
        <w:pStyle w:val="Normal"/>
        <w:numPr>
          <w:ilvl w:val="0"/>
          <w:numId w:val="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федеральные учебные планы;</w:t>
      </w:r>
    </w:p>
    <w:p>
      <w:pPr>
        <w:pStyle w:val="Normal"/>
        <w:numPr>
          <w:ilvl w:val="0"/>
          <w:numId w:val="1"/>
        </w:numPr>
        <w:spacing w:before="0" w:after="280"/>
        <w:ind w:left="780" w:right="180" w:hanging="360"/>
        <w:jc w:val="both"/>
        <w:rPr>
          <w:rFonts w:ascii="Times New Roman" w:hAnsi="Times New Roman"/>
          <w:sz w:val="24"/>
          <w:szCs w:val="24"/>
        </w:rPr>
      </w:pPr>
      <w:r>
        <w:rPr>
          <w:rFonts w:cs="Times New Roman" w:ascii="Times New Roman" w:hAnsi="Times New Roman"/>
          <w:color w:val="000000"/>
          <w:sz w:val="24"/>
          <w:szCs w:val="24"/>
        </w:rPr>
        <w:t>федеральные календарные планы воспитательной работы.</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С 1 сентября 2024 года в соответствии с Федеральным законом от 19.12.2023 № 618-ФЗ Школа ввела в основные образовательные программы учебные предметы «Труд (технология)» и «Основы безопасности и защиты Родины». Рабочие программы по учебным предметам предполагают непосредственное применение федеральных рабочих программ.</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За первые четыре месяца реализации рабочих программ по новым предметам, которые предполагают преемственность некоторых тем учебных предметов «Технология» и «Основы безопасности жизнедеятельности» соответственно, учителя отмечают стандартную успеваемость учащихся, что показывает успешность интеграции новых предметов в образовательный процесс Школы.</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Анализ текущих достижений показал результаты, сопоставимые с результатами прошлого и позапрошлого годов. Учителя отмечают, что им стало проще оформлять методическую документацию с использованием различных частей ФОП и дополнительных методических документов от Минпросвещения.</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Школа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pPr>
        <w:pStyle w:val="Normal"/>
        <w:spacing w:lineRule="auto" w:line="240" w:before="280" w:after="280"/>
        <w:jc w:val="both"/>
        <w:rPr>
          <w:rFonts w:ascii="Times New Roman" w:hAnsi="Times New Roman"/>
          <w:sz w:val="24"/>
          <w:szCs w:val="24"/>
        </w:rPr>
      </w:pPr>
      <w:r>
        <w:rPr>
          <w:rFonts w:eastAsia="Times New Roman" w:cs="Times New Roman" w:ascii="Times New Roman" w:hAnsi="Times New Roman"/>
          <w:color w:val="000000"/>
          <w:sz w:val="24"/>
          <w:szCs w:val="24"/>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pPr>
        <w:pStyle w:val="Normal"/>
        <w:spacing w:lineRule="auto" w:line="240" w:before="0" w:after="142"/>
        <w:rPr>
          <w:rFonts w:ascii="Times New Roman" w:hAnsi="Times New Roman"/>
          <w:sz w:val="24"/>
          <w:szCs w:val="24"/>
        </w:rPr>
      </w:pPr>
      <w:r>
        <w:rPr>
          <w:rFonts w:eastAsia="Times New Roman" w:cs="Arial" w:ascii="Times New Roman" w:hAnsi="Times New Roman"/>
          <w:b/>
          <w:bCs/>
          <w:color w:val="222222"/>
          <w:sz w:val="24"/>
          <w:szCs w:val="24"/>
        </w:rPr>
        <w:t>Воспитательная работа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Воспитательная работы Школы реализуется на основе рабочих программ воспитания и календарных планов воспитательной работы, которые являются частью ООП НОО, ООО и СОО. В рамках воспитательной работы Школа: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Pr>
          <w:rFonts w:ascii="Times New Roman" w:hAnsi="Times New Roman"/>
          <w:sz w:val="24"/>
          <w:szCs w:val="24"/>
        </w:rPr>
        <w:br/>
      </w:r>
      <w:r>
        <w:rPr>
          <w:rFonts w:cs="Times New Roman" w:ascii="Times New Roman" w:hAnsi="Times New Roman"/>
          <w:color w:val="000000"/>
          <w:sz w:val="24"/>
          <w:szCs w:val="24"/>
        </w:rPr>
        <w:t>2) реализует потенциал классного руководства в воспитании школьников, поддерживает активное участие классных сообществ в жизни Школы;</w:t>
      </w:r>
      <w:r>
        <w:rPr>
          <w:rFonts w:ascii="Times New Roman" w:hAnsi="Times New Roman"/>
          <w:sz w:val="24"/>
          <w:szCs w:val="24"/>
        </w:rPr>
        <w:br/>
      </w:r>
      <w:r>
        <w:rPr>
          <w:rFonts w:cs="Times New Roman" w:ascii="Times New Roman" w:hAnsi="Times New Roman"/>
          <w:color w:val="000000"/>
          <w:sz w:val="24"/>
          <w:szCs w:val="24"/>
        </w:rPr>
        <w:t>3) вовлекает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r>
        <w:rPr>
          <w:rFonts w:ascii="Times New Roman" w:hAnsi="Times New Roman"/>
          <w:sz w:val="24"/>
          <w:szCs w:val="24"/>
        </w:rPr>
        <w:br/>
      </w:r>
      <w:r>
        <w:rPr>
          <w:rFonts w:cs="Times New Roman" w:ascii="Times New Roman" w:hAnsi="Times New Roman"/>
          <w:color w:val="000000"/>
          <w:sz w:val="24"/>
          <w:szCs w:val="24"/>
        </w:rPr>
        <w:t>4) использует в воспитании детей возможности школьного урока, поддерживает использование на уроках интерактивных форм занятий с учащимися;</w:t>
      </w:r>
      <w:r>
        <w:rPr>
          <w:rFonts w:ascii="Times New Roman" w:hAnsi="Times New Roman"/>
          <w:sz w:val="24"/>
          <w:szCs w:val="24"/>
        </w:rPr>
        <w:br/>
      </w:r>
      <w:r>
        <w:rPr>
          <w:rFonts w:cs="Times New Roman" w:ascii="Times New Roman" w:hAnsi="Times New Roman"/>
          <w:color w:val="000000"/>
          <w:sz w:val="24"/>
          <w:szCs w:val="24"/>
        </w:rPr>
        <w:t>5) поддерживает ученическое самоуправление — как на уровне Школы, так и на уровне классных сообществ;</w:t>
      </w:r>
      <w:r>
        <w:rPr>
          <w:rFonts w:ascii="Times New Roman" w:hAnsi="Times New Roman"/>
          <w:sz w:val="24"/>
          <w:szCs w:val="24"/>
        </w:rPr>
        <w:br/>
      </w:r>
      <w:r>
        <w:rPr>
          <w:rFonts w:cs="Times New Roman" w:ascii="Times New Roman" w:hAnsi="Times New Roman"/>
          <w:color w:val="000000"/>
          <w:sz w:val="24"/>
          <w:szCs w:val="24"/>
        </w:rPr>
        <w:t>6) поддерживает деятельность функционирующих на базе Школы детских общественных объединений и организаций — например, школьного спортивного клуба;</w:t>
      </w:r>
      <w:r>
        <w:rPr>
          <w:rFonts w:ascii="Times New Roman" w:hAnsi="Times New Roman"/>
          <w:sz w:val="24"/>
          <w:szCs w:val="24"/>
        </w:rPr>
        <w:br/>
      </w:r>
      <w:r>
        <w:rPr>
          <w:rFonts w:cs="Times New Roman" w:ascii="Times New Roman" w:hAnsi="Times New Roman"/>
          <w:color w:val="000000"/>
          <w:sz w:val="24"/>
          <w:szCs w:val="24"/>
        </w:rPr>
        <w:t>7) организует для школьников экскурсии, экспедиции, походы и реализует их воспитательный потенциал;</w:t>
      </w:r>
      <w:r>
        <w:rPr>
          <w:rFonts w:ascii="Times New Roman" w:hAnsi="Times New Roman"/>
          <w:sz w:val="24"/>
          <w:szCs w:val="24"/>
        </w:rPr>
        <w:br/>
      </w:r>
      <w:r>
        <w:rPr>
          <w:rFonts w:cs="Times New Roman" w:ascii="Times New Roman" w:hAnsi="Times New Roman"/>
          <w:color w:val="000000"/>
          <w:sz w:val="24"/>
          <w:szCs w:val="24"/>
        </w:rPr>
        <w:t>8) организует профориентационную работу со школьниками;</w:t>
      </w:r>
      <w:r>
        <w:rPr>
          <w:rFonts w:ascii="Times New Roman" w:hAnsi="Times New Roman"/>
          <w:sz w:val="24"/>
          <w:szCs w:val="24"/>
        </w:rPr>
        <w:br/>
      </w:r>
      <w:r>
        <w:rPr>
          <w:rFonts w:cs="Times New Roman" w:ascii="Times New Roman" w:hAnsi="Times New Roman"/>
          <w:color w:val="000000"/>
          <w:sz w:val="24"/>
          <w:szCs w:val="24"/>
        </w:rPr>
        <w:t>9) развивает предметно-эстетическую среду Школы и реализует ее воспитательные возможности;</w:t>
      </w:r>
      <w:r>
        <w:rPr>
          <w:rFonts w:ascii="Times New Roman" w:hAnsi="Times New Roman"/>
          <w:sz w:val="24"/>
          <w:szCs w:val="24"/>
        </w:rPr>
        <w:br/>
      </w:r>
      <w:r>
        <w:rPr>
          <w:rFonts w:cs="Times New Roman" w:ascii="Times New Roman" w:hAnsi="Times New Roman"/>
          <w:color w:val="000000"/>
          <w:sz w:val="24"/>
          <w:szCs w:val="24"/>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По итогам реализации рабочих программ воспитания за 2024 год родители и ученики выражают удовлетворенность воспитательным процессом в Школе, что отразилось на результатах анкетирования, проведенного 20.12.2024. Вместе с тем, родители высказали пожелания по введению мероприятий в календарный план воспитательной работы Школы, например, проводить осенние и зимние спортивные мероприятия в рамках подготовки к физкультурному комплексу ГТО. Предложения родителей будут рассмотрены и при наличии возможностей Школы включены в календарный план воспитательной работы Школы на 2025/26 учебный год.</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 2024 году в Школе особое внимание было уделено реализации мер информационной безопасности обучающихся. Директором был назначен ответственный за информационную безопасность. Календарный план воспитательной работы Школы дополнили просветительскими мероприятиями, направленными на информирование детей, родителей, работников:</w:t>
      </w:r>
    </w:p>
    <w:p>
      <w:pPr>
        <w:pStyle w:val="Normal"/>
        <w:numPr>
          <w:ilvl w:val="0"/>
          <w:numId w:val="2"/>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участие в конкурсе школьных сочинений «Безопасный интернет»;</w:t>
      </w:r>
    </w:p>
    <w:p>
      <w:pPr>
        <w:pStyle w:val="Normal"/>
        <w:numPr>
          <w:ilvl w:val="0"/>
          <w:numId w:val="2"/>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классные часы в 4 – 11-х классах «Урок безопасного интернета»;</w:t>
      </w:r>
    </w:p>
    <w:p>
      <w:pPr>
        <w:pStyle w:val="Normal"/>
        <w:numPr>
          <w:ilvl w:val="0"/>
          <w:numId w:val="2"/>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родительские собрания на тему «Безопасность детей в Интернет».</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С 1 сентября 2024 года календарные планы воспитательной работы Школы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Минпросвещения 30.08.2024 № АБ-2348/06). При составлении плана учитывали рекомендации Минпросвещения: включили в планы все мероприятия, указанные в разделе «Основные мероприятия»; добавили по два мероприятий из каждого тематического блока, указанных в разделе «Дополнительные мероприятия» (письмо Минпросвещения от 30.08.2024 № 06-1145).</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Большая часть воспитательных мероприятий направлена на гражданско-патриотическое воспитание, в том числе в рамках празднования Года защитников Отечества и 80-летие Победы в Великой Отечественной войне 1941-1945 годов, а также посвящена безопасности жизнедеятельности и здоровому образу жизни.</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Школа проводила систематическую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 не выполнением родителями своих обязанностей по воспитанию детей.</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 соответствии с планами воспитательной работы для учеников и родителей были организованы:</w:t>
      </w:r>
    </w:p>
    <w:p>
      <w:pPr>
        <w:pStyle w:val="Normal"/>
        <w:numPr>
          <w:ilvl w:val="0"/>
          <w:numId w:val="3"/>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участие в муниципальном  конкурсе антинаркотической социальной рекламы;</w:t>
      </w:r>
    </w:p>
    <w:p>
      <w:pPr>
        <w:pStyle w:val="Normal"/>
        <w:numPr>
          <w:ilvl w:val="0"/>
          <w:numId w:val="3"/>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классные часы и беседы на антинаркотические темы с использованием ИКТ-технологий;</w:t>
      </w:r>
    </w:p>
    <w:p>
      <w:pPr>
        <w:pStyle w:val="Normal"/>
        <w:numPr>
          <w:ilvl w:val="0"/>
          <w:numId w:val="3"/>
        </w:numPr>
        <w:spacing w:before="0" w:after="280"/>
        <w:ind w:left="780" w:right="180" w:hanging="360"/>
        <w:jc w:val="both"/>
        <w:rPr>
          <w:rFonts w:ascii="Times New Roman" w:hAnsi="Times New Roman"/>
          <w:sz w:val="24"/>
          <w:szCs w:val="24"/>
        </w:rPr>
      </w:pPr>
      <w:r>
        <w:rPr>
          <w:rFonts w:cs="Times New Roman" w:ascii="Times New Roman" w:hAnsi="Times New Roman"/>
          <w:color w:val="000000"/>
          <w:sz w:val="24"/>
          <w:szCs w:val="24"/>
        </w:rPr>
        <w:t>лекции с участием сотрудников  ГБУЗ «Николаевская ЦРБ» и Отдела МВД муниципального района.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 2024 году Школа продолжила реализовывать Единую модель профессиональной ориентации — профориентационный минимум. Для этого утвердили план профориентационных мероприятий и внесли изменения в рабочую программу воспитания, календарный план воспитательной работы, план внеурочной деятельности.</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Профориентационная работа в Школе строится по следующей схеме:</w:t>
      </w:r>
    </w:p>
    <w:p>
      <w:pPr>
        <w:pStyle w:val="Normal"/>
        <w:numPr>
          <w:ilvl w:val="0"/>
          <w:numId w:val="4"/>
        </w:numPr>
        <w:spacing w:before="28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1–4-е классы: знакомство школьников с миром профессий и формирование у них понимания важности правильного выбора профессии.</w:t>
      </w:r>
    </w:p>
    <w:p>
      <w:pPr>
        <w:pStyle w:val="Normal"/>
        <w:numPr>
          <w:ilvl w:val="0"/>
          <w:numId w:val="4"/>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5–9-е классы: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w:t>
      </w:r>
    </w:p>
    <w:p>
      <w:pPr>
        <w:pStyle w:val="Normal"/>
        <w:numPr>
          <w:ilvl w:val="0"/>
          <w:numId w:val="4"/>
        </w:numPr>
        <w:spacing w:before="0" w:after="280"/>
        <w:ind w:left="780" w:right="180" w:hanging="360"/>
        <w:jc w:val="both"/>
        <w:rPr>
          <w:rFonts w:ascii="Times New Roman" w:hAnsi="Times New Roman"/>
          <w:sz w:val="24"/>
          <w:szCs w:val="24"/>
        </w:rPr>
      </w:pPr>
      <w:r>
        <w:rPr>
          <w:rFonts w:cs="Times New Roman" w:ascii="Times New Roman" w:hAnsi="Times New Roman"/>
          <w:color w:val="000000"/>
          <w:sz w:val="24"/>
          <w:szCs w:val="24"/>
        </w:rPr>
        <w:t>10–11-е классы: развитие готовности и способности к саморазвитию и профессиональному самоопределению.</w:t>
      </w:r>
    </w:p>
    <w:p>
      <w:pPr>
        <w:pStyle w:val="Normal"/>
        <w:spacing w:before="280" w:after="280"/>
        <w:jc w:val="both"/>
        <w:rPr>
          <w:rFonts w:ascii="Times New Roman" w:hAnsi="Times New Roman"/>
          <w:sz w:val="24"/>
          <w:szCs w:val="24"/>
        </w:rPr>
      </w:pPr>
      <w:r>
        <w:rPr>
          <w:rFonts w:cs="Times New Roman" w:ascii="Times New Roman" w:hAnsi="Times New Roman"/>
          <w:b/>
          <w:bCs/>
          <w:color w:val="000000"/>
          <w:sz w:val="24"/>
          <w:szCs w:val="24"/>
        </w:rPr>
        <w:t>Дополнительное образование</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Дополнительное образование ведется по программам следующей направленности:</w:t>
      </w:r>
    </w:p>
    <w:p>
      <w:pPr>
        <w:pStyle w:val="Normal"/>
        <w:numPr>
          <w:ilvl w:val="0"/>
          <w:numId w:val="5"/>
        </w:numPr>
        <w:spacing w:before="28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естественнонаучное;</w:t>
      </w:r>
    </w:p>
    <w:p>
      <w:pPr>
        <w:pStyle w:val="Normal"/>
        <w:numPr>
          <w:ilvl w:val="0"/>
          <w:numId w:val="5"/>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техническое;</w:t>
      </w:r>
    </w:p>
    <w:p>
      <w:pPr>
        <w:pStyle w:val="Normal"/>
        <w:numPr>
          <w:ilvl w:val="0"/>
          <w:numId w:val="5"/>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художественное;</w:t>
      </w:r>
    </w:p>
    <w:p>
      <w:pPr>
        <w:pStyle w:val="Normal"/>
        <w:numPr>
          <w:ilvl w:val="0"/>
          <w:numId w:val="5"/>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физкультурно-спортивное.</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Выбор направлений осуществлен на основании опросов обучающихся и родителей</w:t>
      </w:r>
      <w:r>
        <w:rPr>
          <w:rFonts w:eastAsia="Times New Roman" w:cs="Times New Roman" w:ascii="Times New Roman" w:hAnsi="Times New Roman"/>
          <w:color w:val="000000"/>
          <w:sz w:val="24"/>
          <w:szCs w:val="24"/>
        </w:rPr>
        <w:t>.</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 xml:space="preserve">Школа реализует программы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 утвержденным приказом Минпросвещения России от 27.07.2022 № 629. </w:t>
      </w:r>
    </w:p>
    <w:p>
      <w:pPr>
        <w:pStyle w:val="Normal"/>
        <w:spacing w:lineRule="auto" w:line="240" w:before="0" w:after="142"/>
        <w:jc w:val="center"/>
        <w:rPr>
          <w:rFonts w:ascii="Times New Roman" w:hAnsi="Times New Roman"/>
          <w:sz w:val="24"/>
          <w:szCs w:val="24"/>
        </w:rPr>
      </w:pPr>
      <w:r>
        <w:rPr>
          <w:rFonts w:eastAsia="Times New Roman" w:cs="Arial" w:ascii="Times New Roman" w:hAnsi="Times New Roman"/>
          <w:b/>
          <w:bCs/>
          <w:color w:val="222222"/>
          <w:sz w:val="24"/>
          <w:szCs w:val="24"/>
        </w:rPr>
        <w:t>II. Оценка системы управления организацией</w:t>
      </w:r>
    </w:p>
    <w:p>
      <w:pPr>
        <w:pStyle w:val="Normal"/>
        <w:spacing w:before="280" w:after="280"/>
        <w:rPr>
          <w:rFonts w:ascii="Times New Roman" w:hAnsi="Times New Roman"/>
          <w:sz w:val="24"/>
          <w:szCs w:val="24"/>
        </w:rPr>
      </w:pPr>
      <w:r>
        <w:rPr>
          <w:rFonts w:cs="Times New Roman" w:ascii="Times New Roman" w:hAnsi="Times New Roman"/>
          <w:color w:val="000000"/>
          <w:sz w:val="24"/>
          <w:szCs w:val="24"/>
        </w:rPr>
        <w:t>Управление Школой осуществляется на принципах единоначалия и самоуправления.</w:t>
      </w:r>
    </w:p>
    <w:p>
      <w:pPr>
        <w:pStyle w:val="Normal"/>
        <w:spacing w:before="280" w:after="280"/>
        <w:jc w:val="center"/>
        <w:rPr>
          <w:rFonts w:ascii="Times New Roman" w:hAnsi="Times New Roman"/>
          <w:sz w:val="24"/>
          <w:szCs w:val="24"/>
        </w:rPr>
      </w:pPr>
      <w:r>
        <w:rPr>
          <w:rFonts w:cs="Times New Roman" w:ascii="Times New Roman" w:hAnsi="Times New Roman"/>
          <w:color w:val="000000"/>
          <w:sz w:val="24"/>
          <w:szCs w:val="24"/>
        </w:rPr>
        <w:t>Органы управления, действующие в Школе</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1999"/>
        <w:gridCol w:w="7355"/>
      </w:tblGrid>
      <w:tr>
        <w:trPr/>
        <w:tc>
          <w:tcPr>
            <w:tcW w:w="199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color w:val="000000"/>
                <w:sz w:val="24"/>
                <w:szCs w:val="24"/>
              </w:rPr>
              <w:t>Наименование органа</w:t>
            </w:r>
          </w:p>
        </w:tc>
        <w:tc>
          <w:tcPr>
            <w:tcW w:w="735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color w:val="000000"/>
                <w:sz w:val="24"/>
                <w:szCs w:val="24"/>
              </w:rPr>
              <w:t>Функции</w:t>
            </w:r>
          </w:p>
        </w:tc>
      </w:tr>
      <w:tr>
        <w:trPr/>
        <w:tc>
          <w:tcPr>
            <w:tcW w:w="199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Директор</w:t>
            </w:r>
          </w:p>
        </w:tc>
        <w:tc>
          <w:tcPr>
            <w:tcW w:w="735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trPr/>
        <w:tc>
          <w:tcPr>
            <w:tcW w:w="199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Управляющий совет</w:t>
            </w:r>
          </w:p>
        </w:tc>
        <w:tc>
          <w:tcPr>
            <w:tcW w:w="735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280"/>
              <w:rPr>
                <w:rFonts w:ascii="Times New Roman" w:hAnsi="Times New Roman" w:cs="Times New Roman"/>
                <w:color w:val="000000"/>
                <w:sz w:val="24"/>
                <w:szCs w:val="24"/>
              </w:rPr>
            </w:pPr>
            <w:r>
              <w:rPr>
                <w:rFonts w:cs="Times New Roman" w:ascii="Times New Roman" w:hAnsi="Times New Roman"/>
                <w:color w:val="000000"/>
                <w:sz w:val="24"/>
                <w:szCs w:val="24"/>
              </w:rPr>
              <w:t>Рассматривает вопросы:</w:t>
            </w:r>
          </w:p>
          <w:p>
            <w:pPr>
              <w:pStyle w:val="Normal"/>
              <w:widowControl w:val="false"/>
              <w:numPr>
                <w:ilvl w:val="0"/>
                <w:numId w:val="8"/>
              </w:numPr>
              <w:spacing w:before="28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развития образовательной организации;</w:t>
            </w:r>
          </w:p>
          <w:p>
            <w:pPr>
              <w:pStyle w:val="Normal"/>
              <w:widowControl w:val="false"/>
              <w:numPr>
                <w:ilvl w:val="0"/>
                <w:numId w:val="8"/>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финансово-хозяйственной деятельности;</w:t>
            </w:r>
          </w:p>
          <w:p>
            <w:pPr>
              <w:pStyle w:val="Normal"/>
              <w:widowControl w:val="false"/>
              <w:numPr>
                <w:ilvl w:val="0"/>
                <w:numId w:val="8"/>
              </w:numPr>
              <w:spacing w:before="0" w:after="280"/>
              <w:ind w:left="780" w:right="180" w:hanging="360"/>
              <w:rPr>
                <w:rFonts w:ascii="Times New Roman" w:hAnsi="Times New Roman" w:cs="Times New Roman"/>
                <w:color w:val="000000"/>
                <w:sz w:val="24"/>
                <w:szCs w:val="24"/>
              </w:rPr>
            </w:pPr>
            <w:r>
              <w:rPr>
                <w:rFonts w:cs="Times New Roman" w:ascii="Times New Roman" w:hAnsi="Times New Roman"/>
                <w:color w:val="000000"/>
                <w:sz w:val="24"/>
                <w:szCs w:val="24"/>
              </w:rPr>
              <w:t>материально-технического обеспечения</w:t>
            </w:r>
          </w:p>
        </w:tc>
      </w:tr>
      <w:tr>
        <w:trPr/>
        <w:tc>
          <w:tcPr>
            <w:tcW w:w="199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Педагогический совет</w:t>
            </w:r>
          </w:p>
        </w:tc>
        <w:tc>
          <w:tcPr>
            <w:tcW w:w="735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280"/>
              <w:rPr>
                <w:rFonts w:ascii="Times New Roman" w:hAnsi="Times New Roman" w:cs="Times New Roman"/>
                <w:color w:val="000000"/>
                <w:sz w:val="24"/>
                <w:szCs w:val="24"/>
              </w:rPr>
            </w:pPr>
            <w:r>
              <w:rPr>
                <w:rFonts w:cs="Times New Roman" w:ascii="Times New Roman" w:hAnsi="Times New Roman"/>
                <w:color w:val="000000"/>
                <w:sz w:val="24"/>
                <w:szCs w:val="24"/>
              </w:rPr>
              <w:t>Осуществляет текущее руководство образовательной деятельностью Школы, в том числе рассматривает вопросы:</w:t>
            </w:r>
          </w:p>
          <w:p>
            <w:pPr>
              <w:pStyle w:val="Normal"/>
              <w:widowControl w:val="false"/>
              <w:numPr>
                <w:ilvl w:val="0"/>
                <w:numId w:val="9"/>
              </w:numPr>
              <w:spacing w:before="28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развития образовательных услуг;</w:t>
            </w:r>
          </w:p>
          <w:p>
            <w:pPr>
              <w:pStyle w:val="Normal"/>
              <w:widowControl w:val="false"/>
              <w:numPr>
                <w:ilvl w:val="0"/>
                <w:numId w:val="9"/>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регламентации образовательных отношений;</w:t>
            </w:r>
          </w:p>
          <w:p>
            <w:pPr>
              <w:pStyle w:val="Normal"/>
              <w:widowControl w:val="false"/>
              <w:numPr>
                <w:ilvl w:val="0"/>
                <w:numId w:val="9"/>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разработки образовательных программ;</w:t>
            </w:r>
          </w:p>
          <w:p>
            <w:pPr>
              <w:pStyle w:val="Normal"/>
              <w:widowControl w:val="false"/>
              <w:numPr>
                <w:ilvl w:val="0"/>
                <w:numId w:val="9"/>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выбора учебников, учебных пособий, средств обучения и воспитания;</w:t>
            </w:r>
          </w:p>
          <w:p>
            <w:pPr>
              <w:pStyle w:val="Normal"/>
              <w:widowControl w:val="false"/>
              <w:numPr>
                <w:ilvl w:val="0"/>
                <w:numId w:val="9"/>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материально-технического обеспечения образовательного процесса;</w:t>
            </w:r>
          </w:p>
          <w:p>
            <w:pPr>
              <w:pStyle w:val="Normal"/>
              <w:widowControl w:val="false"/>
              <w:numPr>
                <w:ilvl w:val="0"/>
                <w:numId w:val="9"/>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аттестации, повышения квалификации педагогических работников;</w:t>
            </w:r>
          </w:p>
          <w:p>
            <w:pPr>
              <w:pStyle w:val="Normal"/>
              <w:widowControl w:val="false"/>
              <w:numPr>
                <w:ilvl w:val="0"/>
                <w:numId w:val="9"/>
              </w:numPr>
              <w:spacing w:before="0" w:after="280"/>
              <w:ind w:left="780" w:right="180" w:hanging="360"/>
              <w:rPr>
                <w:rFonts w:ascii="Times New Roman" w:hAnsi="Times New Roman" w:cs="Times New Roman"/>
                <w:color w:val="000000"/>
                <w:sz w:val="24"/>
                <w:szCs w:val="24"/>
              </w:rPr>
            </w:pPr>
            <w:r>
              <w:rPr>
                <w:rFonts w:cs="Times New Roman" w:ascii="Times New Roman" w:hAnsi="Times New Roman"/>
                <w:color w:val="000000"/>
                <w:sz w:val="24"/>
                <w:szCs w:val="24"/>
              </w:rPr>
              <w:t>координации деятельности методических объединений</w:t>
            </w:r>
          </w:p>
        </w:tc>
      </w:tr>
      <w:tr>
        <w:trPr/>
        <w:tc>
          <w:tcPr>
            <w:tcW w:w="199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Общее собрание работников</w:t>
            </w:r>
          </w:p>
        </w:tc>
        <w:tc>
          <w:tcPr>
            <w:tcW w:w="735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280"/>
              <w:rPr>
                <w:rFonts w:ascii="Times New Roman" w:hAnsi="Times New Roman" w:cs="Times New Roman"/>
                <w:color w:val="000000"/>
                <w:sz w:val="24"/>
                <w:szCs w:val="24"/>
              </w:rPr>
            </w:pPr>
            <w:r>
              <w:rPr>
                <w:rFonts w:cs="Times New Roman" w:ascii="Times New Roman" w:hAnsi="Times New Roman"/>
                <w:color w:val="000000"/>
                <w:sz w:val="24"/>
                <w:szCs w:val="24"/>
              </w:rPr>
              <w:t>Реализует право работников участвовать в управлении образовательной организацией, в том числе:</w:t>
            </w:r>
          </w:p>
          <w:p>
            <w:pPr>
              <w:pStyle w:val="Normal"/>
              <w:widowControl w:val="false"/>
              <w:numPr>
                <w:ilvl w:val="0"/>
                <w:numId w:val="10"/>
              </w:numPr>
              <w:spacing w:before="28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участвовать в разработке и принятии коллективного договора, Правил трудового распорядка, изменений и дополнений к ним;</w:t>
            </w:r>
          </w:p>
          <w:p>
            <w:pPr>
              <w:pStyle w:val="Normal"/>
              <w:widowControl w:val="false"/>
              <w:numPr>
                <w:ilvl w:val="0"/>
                <w:numId w:val="10"/>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pPr>
              <w:pStyle w:val="Normal"/>
              <w:widowControl w:val="false"/>
              <w:numPr>
                <w:ilvl w:val="0"/>
                <w:numId w:val="10"/>
              </w:numPr>
              <w:spacing w:before="0" w:after="0"/>
              <w:ind w:left="780" w:right="180" w:hanging="360"/>
              <w:contextualSpacing/>
              <w:rPr>
                <w:rFonts w:ascii="Times New Roman" w:hAnsi="Times New Roman" w:cs="Times New Roman"/>
                <w:color w:val="000000"/>
                <w:sz w:val="24"/>
                <w:szCs w:val="24"/>
              </w:rPr>
            </w:pPr>
            <w:r>
              <w:rPr>
                <w:rFonts w:cs="Times New Roman" w:ascii="Times New Roman" w:hAnsi="Times New Roman"/>
                <w:color w:val="000000"/>
                <w:sz w:val="24"/>
                <w:szCs w:val="24"/>
              </w:rPr>
              <w:t>разрешать конфликтные ситуации между работниками и администрацией образовательной организации;</w:t>
            </w:r>
          </w:p>
          <w:p>
            <w:pPr>
              <w:pStyle w:val="Normal"/>
              <w:widowControl w:val="false"/>
              <w:numPr>
                <w:ilvl w:val="0"/>
                <w:numId w:val="10"/>
              </w:numPr>
              <w:spacing w:before="0" w:after="280"/>
              <w:ind w:left="780" w:right="180" w:hanging="360"/>
              <w:rPr>
                <w:rFonts w:ascii="Times New Roman" w:hAnsi="Times New Roman" w:cs="Times New Roman"/>
                <w:color w:val="000000"/>
                <w:sz w:val="24"/>
                <w:szCs w:val="24"/>
              </w:rPr>
            </w:pPr>
            <w:r>
              <w:rPr>
                <w:rFonts w:cs="Times New Roman" w:ascii="Times New Roman" w:hAnsi="Times New Roman"/>
                <w:color w:val="00000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Управляющий совет Школы – коллегиальный орган управления образовательной организацией, который вырабатывает свои решения с учетом мнения всех участников образовательных отношений: родителей (законных представителей) обучающихся, педагогов, обучающихся, учредителя. Представители данных категорий входят в управляющий совет.</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Управляющий совет Школы также является формой общественного участия в управлении образованием, что обеспечивает баланс интересов государственной и общественной составляющих управления и позволяет максимально реализовать потенциал участия всех участников образовательных отношений в управлении образованием.</w:t>
      </w:r>
    </w:p>
    <w:p>
      <w:pPr>
        <w:pStyle w:val="Normal"/>
        <w:spacing w:before="280" w:after="280"/>
        <w:rPr>
          <w:rFonts w:ascii="Times New Roman" w:hAnsi="Times New Roman"/>
          <w:sz w:val="24"/>
          <w:szCs w:val="24"/>
        </w:rPr>
      </w:pPr>
      <w:r>
        <w:rPr>
          <w:rFonts w:cs="Times New Roman" w:ascii="Times New Roman" w:hAnsi="Times New Roman"/>
          <w:color w:val="000000"/>
          <w:sz w:val="24"/>
          <w:szCs w:val="24"/>
        </w:rPr>
        <w:t>Основные принципы деятельности управляющего совета:</w:t>
      </w:r>
    </w:p>
    <w:p>
      <w:pPr>
        <w:pStyle w:val="Normal"/>
        <w:numPr>
          <w:ilvl w:val="0"/>
          <w:numId w:val="11"/>
        </w:numPr>
        <w:spacing w:before="280" w:after="0"/>
        <w:ind w:left="780" w:right="180" w:hanging="360"/>
        <w:contextualSpacing/>
        <w:rPr>
          <w:rFonts w:ascii="Times New Roman" w:hAnsi="Times New Roman"/>
          <w:sz w:val="24"/>
          <w:szCs w:val="24"/>
        </w:rPr>
      </w:pPr>
      <w:r>
        <w:rPr>
          <w:rFonts w:cs="Times New Roman" w:ascii="Times New Roman" w:hAnsi="Times New Roman"/>
          <w:color w:val="000000"/>
          <w:sz w:val="24"/>
          <w:szCs w:val="24"/>
        </w:rPr>
        <w:t>члены совета избираются на срок до 3-х лет с правом применения процедуры выборов, довыборов, перевыборов, переизбрания, назначения и кооптации членов управляющего совета;</w:t>
      </w:r>
    </w:p>
    <w:p>
      <w:pPr>
        <w:pStyle w:val="Normal"/>
        <w:numPr>
          <w:ilvl w:val="0"/>
          <w:numId w:val="1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совет осуществляет свою деятельность в соответствии с законами и иными нормативными правовыми актами РФ, субъектов РФ, уставом Школы;</w:t>
      </w:r>
    </w:p>
    <w:p>
      <w:pPr>
        <w:pStyle w:val="Normal"/>
        <w:numPr>
          <w:ilvl w:val="0"/>
          <w:numId w:val="1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деятельность совета основывается на принципах добровольности участия его членов в работе, коллегиальности принятия решений, гласности;</w:t>
      </w:r>
    </w:p>
    <w:p>
      <w:pPr>
        <w:pStyle w:val="Normal"/>
        <w:numPr>
          <w:ilvl w:val="0"/>
          <w:numId w:val="11"/>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члены совета осуществляют свою работу на общественных началах;</w:t>
      </w:r>
    </w:p>
    <w:p>
      <w:pPr>
        <w:pStyle w:val="Normal"/>
        <w:numPr>
          <w:ilvl w:val="0"/>
          <w:numId w:val="11"/>
        </w:numPr>
        <w:spacing w:before="0" w:after="280"/>
        <w:ind w:left="780" w:right="180" w:hanging="360"/>
        <w:jc w:val="both"/>
        <w:rPr>
          <w:rFonts w:ascii="Times New Roman" w:hAnsi="Times New Roman"/>
          <w:sz w:val="24"/>
          <w:szCs w:val="24"/>
        </w:rPr>
      </w:pPr>
      <w:r>
        <w:rPr>
          <w:rFonts w:cs="Times New Roman" w:ascii="Times New Roman" w:hAnsi="Times New Roman"/>
          <w:color w:val="000000"/>
          <w:sz w:val="24"/>
          <w:szCs w:val="24"/>
        </w:rPr>
        <w:t>решения совета по вопросам, отнесенным уставом Школы к его компетенции, являются обязательными для исполнения всеми участниками образовательных отношений.</w:t>
      </w:r>
    </w:p>
    <w:p>
      <w:pPr>
        <w:pStyle w:val="Normal"/>
        <w:rPr>
          <w:rFonts w:ascii="Times New Roman" w:hAnsi="Times New Roman"/>
          <w:sz w:val="24"/>
          <w:szCs w:val="24"/>
        </w:rPr>
      </w:pPr>
      <w:r>
        <w:rPr>
          <w:rFonts w:cs="Times New Roman" w:ascii="Times New Roman" w:hAnsi="Times New Roman"/>
          <w:color w:val="000000"/>
          <w:sz w:val="24"/>
          <w:szCs w:val="24"/>
        </w:rPr>
        <w:t>Для осуществления учебно-методической работы в Школе созданы следующие предметные методические объединения:</w:t>
      </w:r>
    </w:p>
    <w:p>
      <w:pPr>
        <w:pStyle w:val="Normal"/>
        <w:numPr>
          <w:ilvl w:val="0"/>
          <w:numId w:val="7"/>
        </w:numPr>
        <w:spacing w:lineRule="auto" w:line="240" w:beforeAutospacing="1" w:after="0"/>
        <w:ind w:left="780" w:right="180" w:hanging="360"/>
        <w:contextualSpacing/>
        <w:rPr>
          <w:rFonts w:ascii="Times New Roman" w:hAnsi="Times New Roman"/>
          <w:sz w:val="24"/>
          <w:szCs w:val="24"/>
        </w:rPr>
      </w:pPr>
      <w:r>
        <w:rPr>
          <w:rFonts w:cs="Times New Roman" w:ascii="Times New Roman" w:hAnsi="Times New Roman"/>
          <w:color w:val="000000"/>
          <w:sz w:val="24"/>
          <w:szCs w:val="24"/>
        </w:rPr>
        <w:t>общих гуманитарных дисциплин;</w:t>
      </w:r>
    </w:p>
    <w:p>
      <w:pPr>
        <w:pStyle w:val="Normal"/>
        <w:numPr>
          <w:ilvl w:val="0"/>
          <w:numId w:val="7"/>
        </w:numPr>
        <w:spacing w:lineRule="auto" w:line="240" w:before="0" w:after="0"/>
        <w:ind w:left="780" w:right="180" w:hanging="360"/>
        <w:contextualSpacing/>
        <w:rPr>
          <w:rFonts w:ascii="Times New Roman" w:hAnsi="Times New Roman"/>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социально-экономических дисциплин;</w:t>
      </w:r>
    </w:p>
    <w:p>
      <w:pPr>
        <w:pStyle w:val="Normal"/>
        <w:numPr>
          <w:ilvl w:val="0"/>
          <w:numId w:val="7"/>
        </w:numPr>
        <w:spacing w:lineRule="auto" w:line="240" w:before="0" w:after="0"/>
        <w:ind w:left="780" w:right="180" w:hanging="360"/>
        <w:contextualSpacing/>
        <w:rPr>
          <w:rFonts w:ascii="Times New Roman" w:hAnsi="Times New Roman"/>
          <w:sz w:val="24"/>
          <w:szCs w:val="24"/>
        </w:rPr>
      </w:pPr>
      <w:r>
        <w:rPr>
          <w:rFonts w:cs="Times New Roman" w:ascii="Times New Roman" w:hAnsi="Times New Roman"/>
          <w:color w:val="000000"/>
          <w:sz w:val="24"/>
          <w:szCs w:val="24"/>
        </w:rPr>
        <w:t>естественно-научных  дисциплин;</w:t>
      </w:r>
    </w:p>
    <w:p>
      <w:pPr>
        <w:pStyle w:val="Normal"/>
        <w:numPr>
          <w:ilvl w:val="0"/>
          <w:numId w:val="7"/>
        </w:numPr>
        <w:spacing w:lineRule="auto" w:line="240" w:before="0" w:after="0"/>
        <w:ind w:left="780" w:right="180" w:hanging="360"/>
        <w:contextualSpacing/>
        <w:rPr>
          <w:rFonts w:ascii="Times New Roman" w:hAnsi="Times New Roman"/>
          <w:sz w:val="24"/>
          <w:szCs w:val="24"/>
        </w:rPr>
      </w:pPr>
      <w:r>
        <w:rPr>
          <w:rFonts w:cs="Times New Roman" w:ascii="Times New Roman" w:hAnsi="Times New Roman"/>
          <w:color w:val="000000"/>
          <w:sz w:val="24"/>
          <w:szCs w:val="24"/>
        </w:rPr>
        <w:t>математических дисциплин;</w:t>
      </w:r>
    </w:p>
    <w:p>
      <w:pPr>
        <w:pStyle w:val="Normal"/>
        <w:numPr>
          <w:ilvl w:val="0"/>
          <w:numId w:val="7"/>
        </w:numPr>
        <w:spacing w:lineRule="auto" w:line="240" w:before="0" w:afterAutospacing="1"/>
        <w:ind w:left="780" w:right="180" w:hanging="360"/>
        <w:rPr>
          <w:rFonts w:ascii="Times New Roman" w:hAnsi="Times New Roman"/>
          <w:sz w:val="24"/>
          <w:szCs w:val="24"/>
        </w:rPr>
      </w:pPr>
      <w:r>
        <w:rPr>
          <w:rFonts w:eastAsia="Times New Roman" w:cs="Times New Roman" w:ascii="Times New Roman" w:hAnsi="Times New Roman"/>
          <w:color w:val="000000"/>
          <w:sz w:val="24"/>
          <w:szCs w:val="24"/>
        </w:rPr>
        <w:t>объединение педагогов начальных классов.</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pPr>
        <w:pStyle w:val="Normal"/>
        <w:spacing w:lineRule="auto" w:line="240" w:before="0" w:after="142"/>
        <w:rPr>
          <w:rFonts w:ascii="Times New Roman" w:hAnsi="Times New Roman"/>
          <w:sz w:val="24"/>
          <w:szCs w:val="24"/>
        </w:rPr>
      </w:pPr>
      <w:r>
        <w:rPr>
          <w:rFonts w:ascii="Times New Roman" w:hAnsi="Times New Roman"/>
          <w:sz w:val="24"/>
          <w:szCs w:val="24"/>
        </w:rPr>
      </w:r>
    </w:p>
    <w:p>
      <w:pPr>
        <w:pStyle w:val="Normal"/>
        <w:spacing w:lineRule="auto" w:line="240" w:before="0" w:after="142"/>
        <w:jc w:val="center"/>
        <w:rPr>
          <w:rFonts w:ascii="Times New Roman" w:hAnsi="Times New Roman"/>
          <w:sz w:val="24"/>
          <w:szCs w:val="24"/>
        </w:rPr>
      </w:pPr>
      <w:r>
        <w:rPr>
          <w:rFonts w:eastAsia="Times New Roman" w:cs="Arial" w:ascii="Times New Roman" w:hAnsi="Times New Roman"/>
          <w:b/>
          <w:bCs/>
          <w:sz w:val="24"/>
          <w:szCs w:val="24"/>
        </w:rPr>
        <w:t>III. Оценка содержания и качества подготовки обучающихся</w:t>
      </w:r>
    </w:p>
    <w:p>
      <w:pPr>
        <w:pStyle w:val="Normal"/>
        <w:spacing w:before="280" w:after="280"/>
        <w:rPr>
          <w:rFonts w:ascii="Times New Roman" w:hAnsi="Times New Roman"/>
          <w:sz w:val="24"/>
          <w:szCs w:val="24"/>
        </w:rPr>
      </w:pPr>
      <w:r>
        <w:rPr>
          <w:rFonts w:cs="Times New Roman" w:ascii="Times New Roman" w:hAnsi="Times New Roman"/>
          <w:sz w:val="24"/>
          <w:szCs w:val="24"/>
        </w:rPr>
        <w:t>Статистика показателей за 2021–2024 годы</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565"/>
        <w:gridCol w:w="3870"/>
        <w:gridCol w:w="1148"/>
        <w:gridCol w:w="1150"/>
        <w:gridCol w:w="1150"/>
        <w:gridCol w:w="1471"/>
      </w:tblGrid>
      <w:tr>
        <w:trPr/>
        <w:tc>
          <w:tcPr>
            <w:tcW w:w="56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387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Параметры статистики</w:t>
            </w:r>
          </w:p>
        </w:tc>
        <w:tc>
          <w:tcPr>
            <w:tcW w:w="114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2021–2022</w:t>
            </w:r>
            <w:r>
              <w:rPr>
                <w:rFonts w:ascii="Times New Roman" w:hAnsi="Times New Roman"/>
                <w:sz w:val="24"/>
                <w:szCs w:val="24"/>
              </w:rPr>
              <w:br/>
            </w:r>
            <w:r>
              <w:rPr>
                <w:rFonts w:cs="Times New Roman" w:ascii="Times New Roman" w:hAnsi="Times New Roman"/>
                <w:sz w:val="24"/>
                <w:szCs w:val="24"/>
              </w:rPr>
              <w:t>учебный год</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2022–2023</w:t>
            </w:r>
            <w:r>
              <w:rPr>
                <w:rFonts w:ascii="Times New Roman" w:hAnsi="Times New Roman"/>
                <w:sz w:val="24"/>
                <w:szCs w:val="24"/>
              </w:rPr>
              <w:br/>
            </w:r>
            <w:r>
              <w:rPr>
                <w:rFonts w:cs="Times New Roman" w:ascii="Times New Roman" w:hAnsi="Times New Roman"/>
                <w:sz w:val="24"/>
                <w:szCs w:val="24"/>
              </w:rPr>
              <w:t>учебный год</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2023–2024</w:t>
            </w:r>
            <w:r>
              <w:rPr>
                <w:rFonts w:ascii="Times New Roman" w:hAnsi="Times New Roman"/>
                <w:sz w:val="24"/>
                <w:szCs w:val="24"/>
              </w:rPr>
              <w:br/>
            </w:r>
            <w:r>
              <w:rPr>
                <w:rFonts w:cs="Times New Roman" w:ascii="Times New Roman" w:hAnsi="Times New Roman"/>
                <w:sz w:val="24"/>
                <w:szCs w:val="24"/>
              </w:rPr>
              <w:t>учебный год</w:t>
            </w:r>
          </w:p>
        </w:tc>
        <w:tc>
          <w:tcPr>
            <w:tcW w:w="147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На конец 2024 года</w:t>
            </w:r>
          </w:p>
        </w:tc>
      </w:tr>
      <w:tr>
        <w:trPr/>
        <w:tc>
          <w:tcPr>
            <w:tcW w:w="565"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sz w:val="24"/>
                <w:szCs w:val="24"/>
              </w:rPr>
              <w:t>1</w:t>
            </w:r>
          </w:p>
        </w:tc>
        <w:tc>
          <w:tcPr>
            <w:tcW w:w="3870"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Количество детей, обучавшихся на конец учебного года, в том числе:</w:t>
            </w:r>
          </w:p>
        </w:tc>
        <w:tc>
          <w:tcPr>
            <w:tcW w:w="1148"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557</w:t>
            </w:r>
          </w:p>
        </w:tc>
        <w:tc>
          <w:tcPr>
            <w:tcW w:w="1150"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575</w:t>
            </w:r>
          </w:p>
        </w:tc>
        <w:tc>
          <w:tcPr>
            <w:tcW w:w="1150"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558</w:t>
            </w:r>
          </w:p>
        </w:tc>
        <w:tc>
          <w:tcPr>
            <w:tcW w:w="1471"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560</w:t>
            </w:r>
          </w:p>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r>
          </w:p>
        </w:tc>
      </w:tr>
      <w:tr>
        <w:trPr/>
        <w:tc>
          <w:tcPr>
            <w:tcW w:w="565"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3870"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w:t>
            </w:r>
            <w:r>
              <w:rPr>
                <w:rFonts w:cs="Times New Roman" w:ascii="Times New Roman" w:hAnsi="Times New Roman"/>
                <w:sz w:val="24"/>
                <w:szCs w:val="24"/>
              </w:rPr>
              <w:t>начальная школа</w:t>
            </w:r>
          </w:p>
        </w:tc>
        <w:tc>
          <w:tcPr>
            <w:tcW w:w="1148"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228</w:t>
            </w:r>
          </w:p>
        </w:tc>
        <w:tc>
          <w:tcPr>
            <w:tcW w:w="1150"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239</w:t>
            </w:r>
          </w:p>
        </w:tc>
        <w:tc>
          <w:tcPr>
            <w:tcW w:w="1150"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223</w:t>
            </w:r>
          </w:p>
        </w:tc>
        <w:tc>
          <w:tcPr>
            <w:tcW w:w="1471"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223</w:t>
            </w:r>
          </w:p>
        </w:tc>
      </w:tr>
      <w:tr>
        <w:trPr/>
        <w:tc>
          <w:tcPr>
            <w:tcW w:w="565"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387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w:t>
            </w:r>
            <w:r>
              <w:rPr>
                <w:rFonts w:cs="Times New Roman" w:ascii="Times New Roman" w:hAnsi="Times New Roman"/>
                <w:sz w:val="24"/>
                <w:szCs w:val="24"/>
              </w:rPr>
              <w:t>основная школа</w:t>
            </w:r>
          </w:p>
        </w:tc>
        <w:tc>
          <w:tcPr>
            <w:tcW w:w="114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281</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291</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290</w:t>
            </w:r>
          </w:p>
        </w:tc>
        <w:tc>
          <w:tcPr>
            <w:tcW w:w="147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291</w:t>
            </w:r>
          </w:p>
        </w:tc>
      </w:tr>
      <w:tr>
        <w:trPr/>
        <w:tc>
          <w:tcPr>
            <w:tcW w:w="565"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387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w:t>
            </w:r>
            <w:r>
              <w:rPr>
                <w:rFonts w:cs="Times New Roman" w:ascii="Times New Roman" w:hAnsi="Times New Roman"/>
                <w:sz w:val="24"/>
                <w:szCs w:val="24"/>
              </w:rPr>
              <w:t>средняя школа</w:t>
            </w:r>
          </w:p>
        </w:tc>
        <w:tc>
          <w:tcPr>
            <w:tcW w:w="114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48</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45</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45</w:t>
            </w:r>
          </w:p>
        </w:tc>
        <w:tc>
          <w:tcPr>
            <w:tcW w:w="147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46</w:t>
            </w:r>
          </w:p>
        </w:tc>
      </w:tr>
      <w:tr>
        <w:trPr/>
        <w:tc>
          <w:tcPr>
            <w:tcW w:w="565"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sz w:val="24"/>
                <w:szCs w:val="24"/>
              </w:rPr>
              <w:t>2</w:t>
            </w:r>
          </w:p>
        </w:tc>
        <w:tc>
          <w:tcPr>
            <w:tcW w:w="3870"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Количество учеников, оставленных на повторное обучение:</w:t>
            </w:r>
          </w:p>
        </w:tc>
        <w:tc>
          <w:tcPr>
            <w:tcW w:w="1148"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150"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150"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471"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r>
      <w:tr>
        <w:trPr/>
        <w:tc>
          <w:tcPr>
            <w:tcW w:w="565"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3870"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w:t>
            </w:r>
            <w:r>
              <w:rPr>
                <w:rFonts w:cs="Times New Roman" w:ascii="Times New Roman" w:hAnsi="Times New Roman"/>
                <w:sz w:val="24"/>
                <w:szCs w:val="24"/>
              </w:rPr>
              <w:t>начальная школа</w:t>
            </w:r>
          </w:p>
        </w:tc>
        <w:tc>
          <w:tcPr>
            <w:tcW w:w="1148"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w:t>
            </w:r>
          </w:p>
        </w:tc>
        <w:tc>
          <w:tcPr>
            <w:tcW w:w="1150"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50"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471"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r>
      <w:tr>
        <w:trPr/>
        <w:tc>
          <w:tcPr>
            <w:tcW w:w="565"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387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w:t>
            </w:r>
            <w:r>
              <w:rPr>
                <w:rFonts w:cs="Times New Roman" w:ascii="Times New Roman" w:hAnsi="Times New Roman"/>
                <w:sz w:val="24"/>
                <w:szCs w:val="24"/>
              </w:rPr>
              <w:t>основная школа</w:t>
            </w:r>
          </w:p>
        </w:tc>
        <w:tc>
          <w:tcPr>
            <w:tcW w:w="114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1</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sz w:val="24"/>
                <w:szCs w:val="24"/>
              </w:rPr>
            </w:pPr>
            <w:r>
              <w:rPr>
                <w:rFonts w:cs="Times New Roman" w:ascii="Times New Roman" w:hAnsi="Times New Roman"/>
                <w:sz w:val="24"/>
                <w:szCs w:val="24"/>
              </w:rPr>
              <w:t>—</w:t>
            </w:r>
          </w:p>
        </w:tc>
        <w:tc>
          <w:tcPr>
            <w:tcW w:w="147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sz w:val="24"/>
                <w:szCs w:val="24"/>
              </w:rPr>
            </w:pPr>
            <w:r>
              <w:rPr>
                <w:rFonts w:cs="Times New Roman" w:ascii="Times New Roman" w:hAnsi="Times New Roman"/>
                <w:sz w:val="24"/>
                <w:szCs w:val="24"/>
              </w:rPr>
              <w:t>—</w:t>
            </w:r>
          </w:p>
        </w:tc>
      </w:tr>
      <w:tr>
        <w:trPr/>
        <w:tc>
          <w:tcPr>
            <w:tcW w:w="565"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387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 </w:t>
            </w:r>
            <w:r>
              <w:rPr>
                <w:rFonts w:cs="Times New Roman" w:ascii="Times New Roman" w:hAnsi="Times New Roman"/>
                <w:sz w:val="24"/>
                <w:szCs w:val="24"/>
              </w:rPr>
              <w:t>средняя школа</w:t>
            </w:r>
          </w:p>
        </w:tc>
        <w:tc>
          <w:tcPr>
            <w:tcW w:w="114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5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47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r>
    </w:tbl>
    <w:p>
      <w:pPr>
        <w:pStyle w:val="Normal"/>
        <w:spacing w:before="280" w:after="280"/>
        <w:rPr>
          <w:rFonts w:ascii="Times New Roman" w:hAnsi="Times New Roman"/>
          <w:sz w:val="24"/>
          <w:szCs w:val="24"/>
        </w:rPr>
      </w:pPr>
      <w:r>
        <w:rPr>
          <w:rFonts w:cs="Times New Roman" w:ascii="Times New Roman" w:hAnsi="Times New Roman"/>
          <w:sz w:val="24"/>
          <w:szCs w:val="24"/>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pPr>
        <w:pStyle w:val="Normal"/>
        <w:spacing w:before="280" w:after="280"/>
        <w:rPr>
          <w:rFonts w:ascii="Times New Roman" w:hAnsi="Times New Roman"/>
          <w:sz w:val="24"/>
          <w:szCs w:val="24"/>
        </w:rPr>
      </w:pPr>
      <w:r>
        <w:rPr>
          <w:rFonts w:cs="Times New Roman" w:ascii="Times New Roman" w:hAnsi="Times New Roman"/>
          <w:sz w:val="24"/>
          <w:szCs w:val="24"/>
        </w:rPr>
        <w:t>Краткий анализ динамики результатов успеваемости и качества знаний. Результаты освоения учащимися программ начального общего образования по показателю «успеваемость» в 2024 году</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973"/>
        <w:gridCol w:w="1484"/>
        <w:gridCol w:w="1172"/>
        <w:gridCol w:w="846"/>
        <w:gridCol w:w="1172"/>
        <w:gridCol w:w="845"/>
        <w:gridCol w:w="1485"/>
        <w:gridCol w:w="1377"/>
      </w:tblGrid>
      <w:tr>
        <w:trPr/>
        <w:tc>
          <w:tcPr>
            <w:tcW w:w="97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Классы</w:t>
            </w:r>
          </w:p>
        </w:tc>
        <w:tc>
          <w:tcPr>
            <w:tcW w:w="148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Всего обучающихся</w:t>
            </w:r>
          </w:p>
        </w:tc>
        <w:tc>
          <w:tcPr>
            <w:tcW w:w="201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Окончили год</w:t>
            </w:r>
          </w:p>
        </w:tc>
        <w:tc>
          <w:tcPr>
            <w:tcW w:w="201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Окончили год</w:t>
            </w:r>
          </w:p>
        </w:tc>
        <w:tc>
          <w:tcPr>
            <w:tcW w:w="286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Переведены условно в след. класс</w:t>
            </w:r>
          </w:p>
        </w:tc>
      </w:tr>
      <w:tr>
        <w:trPr/>
        <w:tc>
          <w:tcPr>
            <w:tcW w:w="973"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48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1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 отметками «4» и «5»</w:t>
            </w:r>
          </w:p>
        </w:tc>
        <w:tc>
          <w:tcPr>
            <w:tcW w:w="8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 отметками «5»</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Кол-во</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48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sz w:val="24"/>
                <w:szCs w:val="24"/>
              </w:rPr>
            </w:pPr>
            <w:r>
              <w:rPr>
                <w:rFonts w:ascii="Times New Roman" w:hAnsi="Times New Roman"/>
                <w:sz w:val="24"/>
                <w:szCs w:val="24"/>
              </w:rPr>
              <w:t>63</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37</w:t>
            </w:r>
          </w:p>
        </w:tc>
        <w:tc>
          <w:tcPr>
            <w:tcW w:w="84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58,7%</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21</w:t>
            </w:r>
          </w:p>
        </w:tc>
        <w:tc>
          <w:tcPr>
            <w:tcW w:w="84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33,3%</w:t>
            </w:r>
          </w:p>
        </w:tc>
        <w:tc>
          <w:tcPr>
            <w:tcW w:w="148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c>
          <w:tcPr>
            <w:tcW w:w="1377"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48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51</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24</w:t>
            </w:r>
          </w:p>
        </w:tc>
        <w:tc>
          <w:tcPr>
            <w:tcW w:w="84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47%</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10</w:t>
            </w:r>
          </w:p>
        </w:tc>
        <w:tc>
          <w:tcPr>
            <w:tcW w:w="84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19,6%</w:t>
            </w:r>
          </w:p>
        </w:tc>
        <w:tc>
          <w:tcPr>
            <w:tcW w:w="148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c>
          <w:tcPr>
            <w:tcW w:w="1377"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8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59</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35</w:t>
            </w:r>
          </w:p>
        </w:tc>
        <w:tc>
          <w:tcPr>
            <w:tcW w:w="84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59,3%</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9</w:t>
            </w:r>
          </w:p>
        </w:tc>
        <w:tc>
          <w:tcPr>
            <w:tcW w:w="84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15,3%</w:t>
            </w:r>
          </w:p>
        </w:tc>
        <w:tc>
          <w:tcPr>
            <w:tcW w:w="148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c>
          <w:tcPr>
            <w:tcW w:w="1377"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148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173</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96</w:t>
            </w:r>
          </w:p>
        </w:tc>
        <w:tc>
          <w:tcPr>
            <w:tcW w:w="84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55,5%</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40</w:t>
            </w:r>
          </w:p>
        </w:tc>
        <w:tc>
          <w:tcPr>
            <w:tcW w:w="84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23%</w:t>
            </w:r>
          </w:p>
        </w:tc>
        <w:tc>
          <w:tcPr>
            <w:tcW w:w="148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c>
          <w:tcPr>
            <w:tcW w:w="1377"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0</w:t>
            </w:r>
          </w:p>
        </w:tc>
      </w:tr>
    </w:tbl>
    <w:p>
      <w:pPr>
        <w:pStyle w:val="Normal"/>
        <w:spacing w:before="280" w:after="280"/>
        <w:jc w:val="both"/>
        <w:rPr>
          <w:rFonts w:ascii="Times New Roman" w:hAnsi="Times New Roman"/>
          <w:sz w:val="24"/>
          <w:szCs w:val="24"/>
        </w:rPr>
      </w:pPr>
      <w:r>
        <w:rPr>
          <w:rFonts w:cs="Times New Roman" w:ascii="Times New Roman" w:hAnsi="Times New Roman"/>
          <w:sz w:val="24"/>
          <w:szCs w:val="24"/>
        </w:rPr>
        <w:t>Eсли сравнить результаты освоения обучающимися программ начального общего образования по показателю «успеваемость» в 2024 году с результатами освоения учащимися программ начального общего образования по показателю «успеваемость» в 2023 году, то можно отметить, что процент учащихся, окончивших на «4» и «5», снизился на 13,5 процента (в 2023 был 69%), процент учащихся, окончивших на «5», снизился на 1 процент (в 2023 — 24%).</w:t>
      </w:r>
    </w:p>
    <w:p>
      <w:pPr>
        <w:pStyle w:val="Normal"/>
        <w:spacing w:before="280" w:after="280"/>
        <w:rPr>
          <w:rFonts w:ascii="Times New Roman" w:hAnsi="Times New Roman"/>
          <w:sz w:val="24"/>
          <w:szCs w:val="24"/>
        </w:rPr>
      </w:pPr>
      <w:r>
        <w:rPr>
          <w:rFonts w:cs="Times New Roman" w:ascii="Times New Roman" w:hAnsi="Times New Roman"/>
          <w:sz w:val="24"/>
          <w:szCs w:val="24"/>
        </w:rPr>
        <w:t>Результаты освоения учащимися программ основного общего образования по показателю «успеваемость» в 2024 году</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978"/>
        <w:gridCol w:w="1481"/>
        <w:gridCol w:w="1172"/>
        <w:gridCol w:w="848"/>
        <w:gridCol w:w="1172"/>
        <w:gridCol w:w="834"/>
        <w:gridCol w:w="1491"/>
        <w:gridCol w:w="1378"/>
      </w:tblGrid>
      <w:tr>
        <w:trPr/>
        <w:tc>
          <w:tcPr>
            <w:tcW w:w="97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Классы</w:t>
            </w:r>
          </w:p>
        </w:tc>
        <w:tc>
          <w:tcPr>
            <w:tcW w:w="14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Всего обучающихся</w:t>
            </w:r>
          </w:p>
        </w:tc>
        <w:tc>
          <w:tcPr>
            <w:tcW w:w="20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Окончили год</w:t>
            </w:r>
          </w:p>
        </w:tc>
        <w:tc>
          <w:tcPr>
            <w:tcW w:w="200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Окончили год</w:t>
            </w:r>
          </w:p>
        </w:tc>
        <w:tc>
          <w:tcPr>
            <w:tcW w:w="286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Переведены условно в след. класс</w:t>
            </w:r>
          </w:p>
        </w:tc>
      </w:tr>
      <w:tr>
        <w:trPr/>
        <w:tc>
          <w:tcPr>
            <w:tcW w:w="978"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48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1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 отметками «4» и «5»</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 отметками «5»</w:t>
            </w:r>
          </w:p>
        </w:tc>
        <w:tc>
          <w:tcPr>
            <w:tcW w:w="8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4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Кол-во</w:t>
            </w:r>
          </w:p>
        </w:tc>
        <w:tc>
          <w:tcPr>
            <w:tcW w:w="1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r>
      <w:tr>
        <w:trPr/>
        <w:tc>
          <w:tcPr>
            <w:tcW w:w="978"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w:t>
            </w:r>
          </w:p>
        </w:tc>
        <w:tc>
          <w:tcPr>
            <w:tcW w:w="148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sz w:val="24"/>
                <w:szCs w:val="24"/>
              </w:rPr>
            </w:pPr>
            <w:r>
              <w:rPr>
                <w:rFonts w:ascii="Times New Roman" w:hAnsi="Times New Roman"/>
                <w:sz w:val="24"/>
                <w:szCs w:val="24"/>
              </w:rPr>
              <w:t>58</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20</w:t>
            </w:r>
          </w:p>
        </w:tc>
        <w:tc>
          <w:tcPr>
            <w:tcW w:w="84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34,5</w:t>
            </w:r>
          </w:p>
        </w:tc>
        <w:tc>
          <w:tcPr>
            <w:tcW w:w="1172"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9</w:t>
            </w:r>
          </w:p>
        </w:tc>
        <w:tc>
          <w:tcPr>
            <w:tcW w:w="834"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15,5</w:t>
            </w:r>
          </w:p>
        </w:tc>
        <w:tc>
          <w:tcPr>
            <w:tcW w:w="1491"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2</w:t>
            </w:r>
          </w:p>
        </w:tc>
        <w:tc>
          <w:tcPr>
            <w:tcW w:w="137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3,4</w:t>
            </w:r>
          </w:p>
        </w:tc>
      </w:tr>
      <w:tr>
        <w:trPr/>
        <w:tc>
          <w:tcPr>
            <w:tcW w:w="978"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6</w:t>
            </w:r>
          </w:p>
        </w:tc>
        <w:tc>
          <w:tcPr>
            <w:tcW w:w="148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51</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21</w:t>
            </w:r>
          </w:p>
        </w:tc>
        <w:tc>
          <w:tcPr>
            <w:tcW w:w="84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41,2</w:t>
            </w:r>
          </w:p>
        </w:tc>
        <w:tc>
          <w:tcPr>
            <w:tcW w:w="1172"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5</w:t>
            </w:r>
          </w:p>
        </w:tc>
        <w:tc>
          <w:tcPr>
            <w:tcW w:w="834"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9,8</w:t>
            </w:r>
          </w:p>
        </w:tc>
        <w:tc>
          <w:tcPr>
            <w:tcW w:w="1491"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2</w:t>
            </w:r>
          </w:p>
        </w:tc>
        <w:tc>
          <w:tcPr>
            <w:tcW w:w="137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3,9</w:t>
            </w:r>
          </w:p>
        </w:tc>
      </w:tr>
      <w:tr>
        <w:trPr/>
        <w:tc>
          <w:tcPr>
            <w:tcW w:w="978"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7</w:t>
            </w:r>
          </w:p>
        </w:tc>
        <w:tc>
          <w:tcPr>
            <w:tcW w:w="148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76</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22</w:t>
            </w:r>
          </w:p>
        </w:tc>
        <w:tc>
          <w:tcPr>
            <w:tcW w:w="84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28,9</w:t>
            </w:r>
          </w:p>
        </w:tc>
        <w:tc>
          <w:tcPr>
            <w:tcW w:w="1172"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8</w:t>
            </w:r>
          </w:p>
        </w:tc>
        <w:tc>
          <w:tcPr>
            <w:tcW w:w="834"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10, 5</w:t>
            </w:r>
          </w:p>
        </w:tc>
        <w:tc>
          <w:tcPr>
            <w:tcW w:w="1491"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0</w:t>
            </w:r>
          </w:p>
        </w:tc>
        <w:tc>
          <w:tcPr>
            <w:tcW w:w="137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0</w:t>
            </w:r>
          </w:p>
        </w:tc>
      </w:tr>
      <w:tr>
        <w:trPr/>
        <w:tc>
          <w:tcPr>
            <w:tcW w:w="978"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8</w:t>
            </w:r>
          </w:p>
        </w:tc>
        <w:tc>
          <w:tcPr>
            <w:tcW w:w="148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57</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13</w:t>
            </w:r>
          </w:p>
        </w:tc>
        <w:tc>
          <w:tcPr>
            <w:tcW w:w="84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22,8</w:t>
            </w:r>
          </w:p>
        </w:tc>
        <w:tc>
          <w:tcPr>
            <w:tcW w:w="1172"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7</w:t>
            </w:r>
          </w:p>
        </w:tc>
        <w:tc>
          <w:tcPr>
            <w:tcW w:w="834"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12,3</w:t>
            </w:r>
          </w:p>
        </w:tc>
        <w:tc>
          <w:tcPr>
            <w:tcW w:w="1491"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w:t>
            </w:r>
          </w:p>
        </w:tc>
        <w:tc>
          <w:tcPr>
            <w:tcW w:w="137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1,75</w:t>
            </w:r>
          </w:p>
        </w:tc>
      </w:tr>
      <w:tr>
        <w:trPr/>
        <w:tc>
          <w:tcPr>
            <w:tcW w:w="978"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9</w:t>
            </w:r>
          </w:p>
        </w:tc>
        <w:tc>
          <w:tcPr>
            <w:tcW w:w="148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49</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18</w:t>
            </w:r>
          </w:p>
        </w:tc>
        <w:tc>
          <w:tcPr>
            <w:tcW w:w="84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36,7</w:t>
            </w:r>
          </w:p>
        </w:tc>
        <w:tc>
          <w:tcPr>
            <w:tcW w:w="1172"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2</w:t>
            </w:r>
          </w:p>
        </w:tc>
        <w:tc>
          <w:tcPr>
            <w:tcW w:w="834"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4</w:t>
            </w:r>
          </w:p>
        </w:tc>
        <w:tc>
          <w:tcPr>
            <w:tcW w:w="1491"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0</w:t>
            </w:r>
          </w:p>
        </w:tc>
        <w:tc>
          <w:tcPr>
            <w:tcW w:w="137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0</w:t>
            </w:r>
          </w:p>
        </w:tc>
      </w:tr>
      <w:tr>
        <w:trPr/>
        <w:tc>
          <w:tcPr>
            <w:tcW w:w="978"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1481"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291</w:t>
            </w:r>
          </w:p>
        </w:tc>
        <w:tc>
          <w:tcPr>
            <w:tcW w:w="117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left"/>
              <w:rPr>
                <w:rFonts w:ascii="Times New Roman" w:hAnsi="Times New Roman" w:cs="Times New Roman"/>
                <w:sz w:val="24"/>
                <w:szCs w:val="24"/>
              </w:rPr>
            </w:pPr>
            <w:r>
              <w:rPr>
                <w:rFonts w:cs="Times New Roman" w:ascii="Times New Roman" w:hAnsi="Times New Roman"/>
                <w:sz w:val="24"/>
                <w:szCs w:val="24"/>
              </w:rPr>
              <w:t>94</w:t>
            </w:r>
          </w:p>
        </w:tc>
        <w:tc>
          <w:tcPr>
            <w:tcW w:w="84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32,3</w:t>
            </w:r>
          </w:p>
        </w:tc>
        <w:tc>
          <w:tcPr>
            <w:tcW w:w="1172"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31</w:t>
            </w:r>
          </w:p>
        </w:tc>
        <w:tc>
          <w:tcPr>
            <w:tcW w:w="834"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10,65</w:t>
            </w:r>
          </w:p>
        </w:tc>
        <w:tc>
          <w:tcPr>
            <w:tcW w:w="1491"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5</w:t>
            </w:r>
          </w:p>
        </w:tc>
        <w:tc>
          <w:tcPr>
            <w:tcW w:w="1378" w:type="dxa"/>
            <w:tcBorders>
              <w:bottom w:val="single" w:sz="6" w:space="0" w:color="000000"/>
              <w:right w:val="single" w:sz="6" w:space="0" w:color="000000"/>
            </w:tcBorders>
            <w:vAlign w:val="center"/>
          </w:tcPr>
          <w:p>
            <w:pPr>
              <w:pStyle w:val="Normal"/>
              <w:widowControl w:val="false"/>
              <w:spacing w:before="0" w:after="0"/>
              <w:jc w:val="left"/>
              <w:rPr>
                <w:rFonts w:ascii="Times New Roman" w:hAnsi="Times New Roman"/>
                <w:sz w:val="24"/>
                <w:szCs w:val="24"/>
              </w:rPr>
            </w:pPr>
            <w:r>
              <w:rPr>
                <w:rFonts w:ascii="Times New Roman" w:hAnsi="Times New Roman"/>
                <w:sz w:val="24"/>
                <w:szCs w:val="24"/>
              </w:rPr>
              <w:t>1,7</w:t>
            </w:r>
          </w:p>
        </w:tc>
      </w:tr>
    </w:tbl>
    <w:p>
      <w:pPr>
        <w:pStyle w:val="Normal"/>
        <w:spacing w:before="280" w:after="280"/>
        <w:jc w:val="both"/>
        <w:rPr>
          <w:rFonts w:ascii="Times New Roman" w:hAnsi="Times New Roman"/>
          <w:sz w:val="24"/>
          <w:szCs w:val="24"/>
        </w:rPr>
      </w:pPr>
      <w:r>
        <w:rPr>
          <w:rFonts w:cs="Times New Roman" w:ascii="Times New Roman" w:hAnsi="Times New Roman"/>
          <w:sz w:val="24"/>
          <w:szCs w:val="24"/>
        </w:rPr>
        <w:t>Если сравнить результаты освоения обучающимися программ основного общего образования по показателю «успеваемость» в 2024 году с результатами освоения учащимися программ основного общего образования по показателю «успеваемость» в 2023 году, то можно отметить, что процент учащихся, окончивших на «4» и «5», снизился на 4,4 процента (в 2023 был 36,7%), процент учащихся, окончивших на «5», повысился на 3,45  (в 2023 — 7,2%).</w:t>
      </w:r>
    </w:p>
    <w:p>
      <w:pPr>
        <w:pStyle w:val="Normal"/>
        <w:spacing w:before="280" w:after="280"/>
        <w:rPr>
          <w:rFonts w:ascii="Times New Roman" w:hAnsi="Times New Roman"/>
          <w:sz w:val="24"/>
          <w:szCs w:val="24"/>
        </w:rPr>
      </w:pPr>
      <w:r>
        <w:rPr>
          <w:rFonts w:cs="Times New Roman" w:ascii="Times New Roman" w:hAnsi="Times New Roman"/>
          <w:sz w:val="24"/>
          <w:szCs w:val="24"/>
        </w:rPr>
        <w:t>Результаты освоения программ среднего общего образования обучающимися 10-х, 11-х классов по показателю «успеваемость» в 2024 году</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973"/>
        <w:gridCol w:w="1484"/>
        <w:gridCol w:w="1172"/>
        <w:gridCol w:w="846"/>
        <w:gridCol w:w="1172"/>
        <w:gridCol w:w="845"/>
        <w:gridCol w:w="1485"/>
        <w:gridCol w:w="1377"/>
      </w:tblGrid>
      <w:tr>
        <w:trPr/>
        <w:tc>
          <w:tcPr>
            <w:tcW w:w="97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Классы</w:t>
            </w:r>
          </w:p>
        </w:tc>
        <w:tc>
          <w:tcPr>
            <w:tcW w:w="148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Всего обучающихся</w:t>
            </w:r>
          </w:p>
        </w:tc>
        <w:tc>
          <w:tcPr>
            <w:tcW w:w="201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Окончили год</w:t>
            </w:r>
          </w:p>
        </w:tc>
        <w:tc>
          <w:tcPr>
            <w:tcW w:w="201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Окончили год</w:t>
            </w:r>
          </w:p>
        </w:tc>
        <w:tc>
          <w:tcPr>
            <w:tcW w:w="286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Переведены условно в след. класс</w:t>
            </w:r>
          </w:p>
        </w:tc>
      </w:tr>
      <w:tr>
        <w:trPr/>
        <w:tc>
          <w:tcPr>
            <w:tcW w:w="973"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48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75" w:right="75" w:hanging="0"/>
              <w:rPr>
                <w:rFonts w:ascii="Times New Roman" w:hAnsi="Times New Roman" w:cs="Times New Roman"/>
                <w:sz w:val="24"/>
                <w:szCs w:val="24"/>
              </w:rPr>
            </w:pPr>
            <w:r>
              <w:rPr>
                <w:rFonts w:cs="Times New Roman" w:ascii="Times New Roman" w:hAnsi="Times New Roman"/>
                <w:sz w:val="24"/>
                <w:szCs w:val="24"/>
              </w:rPr>
            </w:r>
          </w:p>
        </w:tc>
        <w:tc>
          <w:tcPr>
            <w:tcW w:w="11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 отметками «4» и «5»</w:t>
            </w:r>
          </w:p>
        </w:tc>
        <w:tc>
          <w:tcPr>
            <w:tcW w:w="8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1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 отметками «5»</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Кол-во</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484"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26</w:t>
            </w:r>
          </w:p>
        </w:tc>
        <w:tc>
          <w:tcPr>
            <w:tcW w:w="1172"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11</w:t>
            </w:r>
          </w:p>
        </w:tc>
        <w:tc>
          <w:tcPr>
            <w:tcW w:w="846"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42,3</w:t>
            </w:r>
          </w:p>
        </w:tc>
        <w:tc>
          <w:tcPr>
            <w:tcW w:w="1172"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1</w:t>
            </w:r>
          </w:p>
        </w:tc>
        <w:tc>
          <w:tcPr>
            <w:tcW w:w="845"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3,8</w:t>
            </w:r>
          </w:p>
        </w:tc>
        <w:tc>
          <w:tcPr>
            <w:tcW w:w="1485"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1</w:t>
            </w:r>
          </w:p>
        </w:tc>
        <w:tc>
          <w:tcPr>
            <w:tcW w:w="1377"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3,8</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484"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20</w:t>
            </w:r>
          </w:p>
        </w:tc>
        <w:tc>
          <w:tcPr>
            <w:tcW w:w="1172"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6</w:t>
            </w:r>
          </w:p>
        </w:tc>
        <w:tc>
          <w:tcPr>
            <w:tcW w:w="846"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30</w:t>
            </w:r>
          </w:p>
        </w:tc>
        <w:tc>
          <w:tcPr>
            <w:tcW w:w="1172"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5</w:t>
            </w:r>
          </w:p>
        </w:tc>
        <w:tc>
          <w:tcPr>
            <w:tcW w:w="845"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25</w:t>
            </w:r>
          </w:p>
        </w:tc>
        <w:tc>
          <w:tcPr>
            <w:tcW w:w="1485"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0</w:t>
            </w:r>
          </w:p>
        </w:tc>
        <w:tc>
          <w:tcPr>
            <w:tcW w:w="1377"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0</w:t>
            </w:r>
          </w:p>
        </w:tc>
      </w:tr>
      <w:tr>
        <w:trPr/>
        <w:tc>
          <w:tcPr>
            <w:tcW w:w="973" w:type="dxa"/>
            <w:tcBorders>
              <w:left w:val="single" w:sz="6" w:space="0" w:color="000000"/>
              <w:bottom w:val="single" w:sz="6" w:space="0" w:color="000000"/>
              <w:right w:val="single" w:sz="6"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1484"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46</w:t>
            </w:r>
          </w:p>
        </w:tc>
        <w:tc>
          <w:tcPr>
            <w:tcW w:w="1172"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17</w:t>
            </w:r>
          </w:p>
        </w:tc>
        <w:tc>
          <w:tcPr>
            <w:tcW w:w="846"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37</w:t>
            </w:r>
          </w:p>
        </w:tc>
        <w:tc>
          <w:tcPr>
            <w:tcW w:w="1172"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6</w:t>
            </w:r>
          </w:p>
        </w:tc>
        <w:tc>
          <w:tcPr>
            <w:tcW w:w="845"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13</w:t>
            </w:r>
          </w:p>
        </w:tc>
        <w:tc>
          <w:tcPr>
            <w:tcW w:w="1485"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1</w:t>
            </w:r>
          </w:p>
        </w:tc>
        <w:tc>
          <w:tcPr>
            <w:tcW w:w="1377" w:type="dxa"/>
            <w:tcBorders>
              <w:bottom w:val="single" w:sz="6" w:space="0" w:color="000000"/>
              <w:right w:val="single" w:sz="6" w:space="0" w:color="000000"/>
            </w:tcBorders>
            <w:vAlign w:val="center"/>
          </w:tcPr>
          <w:p>
            <w:pPr>
              <w:pStyle w:val="Normal"/>
              <w:widowControl w:val="false"/>
              <w:spacing w:before="0" w:after="0"/>
              <w:jc w:val="center"/>
              <w:rPr>
                <w:rFonts w:ascii="Times New Roman" w:hAnsi="Times New Roman"/>
                <w:sz w:val="24"/>
                <w:szCs w:val="24"/>
              </w:rPr>
            </w:pPr>
            <w:r>
              <w:rPr>
                <w:rFonts w:ascii="Times New Roman" w:hAnsi="Times New Roman"/>
                <w:sz w:val="24"/>
                <w:szCs w:val="24"/>
              </w:rPr>
              <w:t>2,17</w:t>
            </w:r>
          </w:p>
        </w:tc>
      </w:tr>
    </w:tbl>
    <w:p>
      <w:pPr>
        <w:pStyle w:val="Normal"/>
        <w:spacing w:before="280" w:after="280"/>
        <w:jc w:val="both"/>
        <w:rPr>
          <w:rFonts w:ascii="Times New Roman" w:hAnsi="Times New Roman"/>
          <w:sz w:val="24"/>
          <w:szCs w:val="24"/>
        </w:rPr>
      </w:pPr>
      <w:r>
        <w:rPr>
          <w:rFonts w:cs="Times New Roman" w:ascii="Times New Roman" w:hAnsi="Times New Roman"/>
          <w:sz w:val="24"/>
          <w:szCs w:val="24"/>
        </w:rPr>
        <w:t>Результаты освоения учащимися программ среднего общего образования по показателю «успеваемость» в 2024 учебном году понизились 7,4 процента (в 2023 количество обучающихся, которые закончили полугодие на «4» и «5», было 44,4%), процент учащихся, окончивших на «5»,  увеличился на 4,1% (в 2023 было 8,9%).</w:t>
      </w:r>
    </w:p>
    <w:p>
      <w:pPr>
        <w:pStyle w:val="Normal"/>
        <w:spacing w:before="280" w:after="280"/>
        <w:jc w:val="both"/>
        <w:rPr>
          <w:rFonts w:ascii="Times New Roman" w:hAnsi="Times New Roman"/>
          <w:sz w:val="24"/>
          <w:szCs w:val="24"/>
        </w:rPr>
      </w:pPr>
      <w:r>
        <w:rPr>
          <w:rFonts w:cs="Times New Roman" w:ascii="Times New Roman" w:hAnsi="Times New Roman"/>
          <w:sz w:val="24"/>
          <w:szCs w:val="24"/>
        </w:rPr>
        <w:t xml:space="preserve">Анализ результатов ГИА-24 показывает, что для поступления в вуз сдавали 50% учащихся сдавали обществознание, 30% — биологию, 25% - историю, 20% - географию, 15%- химию и профильную математику, 10% — физику, 5% — литературу и английский язык. </w:t>
      </w:r>
    </w:p>
    <w:p>
      <w:pPr>
        <w:pStyle w:val="Normal"/>
        <w:spacing w:before="280" w:after="280"/>
        <w:rPr>
          <w:rFonts w:ascii="Times New Roman" w:hAnsi="Times New Roman"/>
          <w:sz w:val="24"/>
          <w:szCs w:val="24"/>
        </w:rPr>
      </w:pPr>
      <w:r>
        <w:rPr>
          <w:rFonts w:cs="Times New Roman" w:ascii="Times New Roman" w:hAnsi="Times New Roman"/>
          <w:sz w:val="24"/>
          <w:szCs w:val="24"/>
        </w:rPr>
        <w:t>Результаты сдачи ЕГЭ в 2024 году</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1925"/>
        <w:gridCol w:w="1436"/>
        <w:gridCol w:w="1952"/>
        <w:gridCol w:w="1673"/>
        <w:gridCol w:w="1253"/>
        <w:gridCol w:w="1115"/>
      </w:tblGrid>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Предмет</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Сдавали всего</w:t>
            </w:r>
            <w:r>
              <w:rPr>
                <w:rFonts w:ascii="Times New Roman" w:hAnsi="Times New Roman"/>
                <w:sz w:val="24"/>
                <w:szCs w:val="24"/>
              </w:rPr>
              <w:br/>
            </w:r>
            <w:r>
              <w:rPr>
                <w:rFonts w:cs="Times New Roman" w:ascii="Times New Roman" w:hAnsi="Times New Roman"/>
                <w:sz w:val="24"/>
                <w:szCs w:val="24"/>
              </w:rPr>
              <w:t>человек</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Сколько обучающихся</w:t>
            </w:r>
            <w:r>
              <w:rPr>
                <w:rFonts w:ascii="Times New Roman" w:hAnsi="Times New Roman"/>
                <w:sz w:val="24"/>
                <w:szCs w:val="24"/>
              </w:rPr>
              <w:br/>
            </w:r>
            <w:r>
              <w:rPr>
                <w:rFonts w:cs="Times New Roman" w:ascii="Times New Roman" w:hAnsi="Times New Roman"/>
                <w:sz w:val="24"/>
                <w:szCs w:val="24"/>
              </w:rPr>
              <w:t>получили 100 баллов</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Сколько обучающихся</w:t>
            </w:r>
            <w:r>
              <w:rPr>
                <w:rFonts w:ascii="Times New Roman" w:hAnsi="Times New Roman"/>
                <w:sz w:val="24"/>
                <w:szCs w:val="24"/>
              </w:rPr>
              <w:br/>
            </w:r>
            <w:r>
              <w:rPr>
                <w:rFonts w:cs="Times New Roman" w:ascii="Times New Roman" w:hAnsi="Times New Roman"/>
                <w:sz w:val="24"/>
                <w:szCs w:val="24"/>
              </w:rPr>
              <w:t>получили 90–98 баллов</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Сколько обучающихся получили 80-89</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Средний балл</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Русский язык</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20</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1</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69</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Математика профильная</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55,75</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Физика</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44,5</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Химия</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1</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63</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Информатика и ИКТ</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Биология</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57</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Литература</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1</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73</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Обществознание</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10</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52</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Английский язык</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1</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65</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История</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57,4</w:t>
            </w:r>
          </w:p>
        </w:tc>
      </w:tr>
      <w:tr>
        <w:trPr/>
        <w:tc>
          <w:tcPr>
            <w:tcW w:w="192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География</w:t>
            </w:r>
          </w:p>
        </w:tc>
        <w:tc>
          <w:tcPr>
            <w:tcW w:w="14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w:t>
            </w:r>
          </w:p>
        </w:tc>
        <w:tc>
          <w:tcPr>
            <w:tcW w:w="195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67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253"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0</w:t>
            </w:r>
          </w:p>
        </w:tc>
        <w:tc>
          <w:tcPr>
            <w:tcW w:w="1115"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55,75</w:t>
            </w:r>
          </w:p>
        </w:tc>
      </w:tr>
    </w:tbl>
    <w:p>
      <w:pPr>
        <w:pStyle w:val="Normal"/>
        <w:spacing w:before="280" w:after="280"/>
        <w:rPr>
          <w:rFonts w:ascii="Times New Roman" w:hAnsi="Times New Roman"/>
          <w:sz w:val="24"/>
          <w:szCs w:val="24"/>
        </w:rPr>
      </w:pPr>
      <w:r>
        <w:rPr>
          <w:rFonts w:cs="Times New Roman" w:ascii="Times New Roman" w:hAnsi="Times New Roman"/>
          <w:sz w:val="24"/>
          <w:szCs w:val="24"/>
        </w:rPr>
        <w:t>По итогам 2023/2024 учебного года вручили выпускникам 11-х классов аттестаты, в том числе с отличием, а также медали «За особые успехи в учении» I и II степеней. В таблице – показатели динамики выдачи аттестатов о среднем общем образовании с отличием с 2021 по 2024 год.</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2338"/>
        <w:gridCol w:w="2340"/>
        <w:gridCol w:w="2340"/>
        <w:gridCol w:w="2336"/>
      </w:tblGrid>
      <w:tr>
        <w:trPr/>
        <w:tc>
          <w:tcPr>
            <w:tcW w:w="233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Год выдачи аттестата с отличием</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С отличием красного цвета</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С отличием сине-голубого цвета</w:t>
            </w:r>
          </w:p>
        </w:tc>
        <w:tc>
          <w:tcPr>
            <w:tcW w:w="23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Итого</w:t>
            </w:r>
          </w:p>
        </w:tc>
      </w:tr>
      <w:tr>
        <w:trPr/>
        <w:tc>
          <w:tcPr>
            <w:tcW w:w="233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2021</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3</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w:t>
            </w:r>
          </w:p>
        </w:tc>
        <w:tc>
          <w:tcPr>
            <w:tcW w:w="23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3</w:t>
            </w:r>
          </w:p>
        </w:tc>
      </w:tr>
      <w:tr>
        <w:trPr/>
        <w:tc>
          <w:tcPr>
            <w:tcW w:w="233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2022</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8</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w:t>
            </w:r>
          </w:p>
        </w:tc>
        <w:tc>
          <w:tcPr>
            <w:tcW w:w="23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8</w:t>
            </w:r>
          </w:p>
        </w:tc>
      </w:tr>
      <w:tr>
        <w:trPr/>
        <w:tc>
          <w:tcPr>
            <w:tcW w:w="233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2023</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2</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w:t>
            </w:r>
          </w:p>
        </w:tc>
        <w:tc>
          <w:tcPr>
            <w:tcW w:w="23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2</w:t>
            </w:r>
          </w:p>
        </w:tc>
      </w:tr>
      <w:tr>
        <w:trPr/>
        <w:tc>
          <w:tcPr>
            <w:tcW w:w="2338"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2024</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2</w:t>
            </w:r>
          </w:p>
        </w:tc>
        <w:tc>
          <w:tcPr>
            <w:tcW w:w="2340"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2</w:t>
            </w:r>
          </w:p>
        </w:tc>
        <w:tc>
          <w:tcPr>
            <w:tcW w:w="2336"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ascii="Times New Roman" w:hAnsi="Times New Roman"/>
                <w:sz w:val="24"/>
                <w:szCs w:val="24"/>
              </w:rPr>
              <w:t>4</w:t>
            </w:r>
          </w:p>
        </w:tc>
      </w:tr>
    </w:tbl>
    <w:p>
      <w:pPr>
        <w:pStyle w:val="Normal"/>
        <w:spacing w:lineRule="auto" w:line="240" w:before="280" w:after="280"/>
        <w:jc w:val="both"/>
        <w:rPr>
          <w:rFonts w:ascii="Times New Roman" w:hAnsi="Times New Roman"/>
          <w:sz w:val="24"/>
          <w:szCs w:val="24"/>
        </w:rPr>
      </w:pPr>
      <w:r>
        <w:rPr>
          <w:rFonts w:eastAsia="Times New Roman" w:cs="Times New Roman" w:ascii="Times New Roman" w:hAnsi="Times New Roman"/>
          <w:sz w:val="24"/>
          <w:szCs w:val="24"/>
        </w:rPr>
        <w:t xml:space="preserve">Анализ динамики количества выданных аттестатов с отличием показывает, что благодаря введению новой формы аттестата с отличием за 11-й класс (сине-голубого цвета) общее количество выданных аттестатов с отличием увеличилось и превысило показатель прошлого года на 50 %. </w:t>
      </w:r>
    </w:p>
    <w:p>
      <w:pPr>
        <w:pStyle w:val="Normal"/>
        <w:spacing w:lineRule="auto" w:line="240" w:before="0" w:after="142"/>
        <w:jc w:val="center"/>
        <w:rPr>
          <w:rFonts w:ascii="Times New Roman" w:hAnsi="Times New Roman"/>
          <w:sz w:val="24"/>
          <w:szCs w:val="24"/>
        </w:rPr>
      </w:pPr>
      <w:r>
        <w:rPr>
          <w:rFonts w:eastAsia="Times New Roman" w:cs="Arial" w:ascii="Times New Roman" w:hAnsi="Times New Roman"/>
          <w:b/>
          <w:bCs/>
          <w:color w:val="222222"/>
          <w:sz w:val="24"/>
          <w:szCs w:val="24"/>
        </w:rPr>
        <w:t>IV. Оценка организации учебного процесса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Организация учебного процесса в Школе регламентируется ООП Школы, в том числе режимом занятий, учебным планом, календарным учебным графиком, а также расписанием занятий, локальными нормативными актами Школы.</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Образовательная деятельность в Школе осуществляется по пятидневной учебной неделе для 1-х классов, по шестидневной учебной неделе — для 2–11-х классов. Занятия проводятся в две смены для обучающихся 2–4-х классов, в одну смену — для обучающихся 1-х, 5–11-х классов.</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 ходе самообследования выявили, что благодаря закупленному в 2024 году оборудованию в рамках проведенного капитального ремонта  в Школе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11.10.2023 № 1678.</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Принят и опубликован на официальном сайте Школы локальный нормативный акт, содержащий решение о реализации образовательных программ с применением электронного обучения, дистанционных образовательных технологий в следующем учебном году, в котором также содержатся:</w:t>
      </w:r>
    </w:p>
    <w:p>
      <w:pPr>
        <w:pStyle w:val="Normal"/>
        <w:numPr>
          <w:ilvl w:val="0"/>
          <w:numId w:val="12"/>
        </w:numPr>
        <w:spacing w:before="28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порядок оказания учебно-методической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w:t>
      </w:r>
    </w:p>
    <w:p>
      <w:pPr>
        <w:pStyle w:val="Normal"/>
        <w:numPr>
          <w:ilvl w:val="0"/>
          <w:numId w:val="12"/>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порядок оказания технической помощи обучающимся и педагогическим работникам;</w:t>
      </w:r>
    </w:p>
    <w:p>
      <w:pPr>
        <w:pStyle w:val="Normal"/>
        <w:numPr>
          <w:ilvl w:val="0"/>
          <w:numId w:val="12"/>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порядок определения соотношение объема занятий, проводимых в форме контактной работы обучающихся с педагогами, и объема занятий, проводимых на иных условиях, а также с применением электронного обучения, дистанционных образовательных технологий;</w:t>
      </w:r>
    </w:p>
    <w:p>
      <w:pPr>
        <w:pStyle w:val="Normal"/>
        <w:numPr>
          <w:ilvl w:val="0"/>
          <w:numId w:val="12"/>
        </w:numPr>
        <w:spacing w:before="0" w:after="280"/>
        <w:ind w:left="780" w:right="180" w:hanging="360"/>
        <w:jc w:val="both"/>
        <w:rPr>
          <w:rFonts w:ascii="Times New Roman" w:hAnsi="Times New Roman"/>
          <w:sz w:val="24"/>
          <w:szCs w:val="24"/>
        </w:rPr>
      </w:pPr>
      <w:r>
        <w:rPr>
          <w:rFonts w:cs="Times New Roman" w:ascii="Times New Roman" w:hAnsi="Times New Roman"/>
          <w:color w:val="000000"/>
          <w:sz w:val="24"/>
          <w:szCs w:val="24"/>
        </w:rPr>
        <w:t>порядок фиксации хода образовательного процесса, промежуточной аттестации, текущего контроля успеваемости и итоговой аттестации.</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Анализ результатов анкетирование педагогов показал, что им стало проще планировать уроки и контролировать усвоение учебного материала учащимися, благодаря сервисам ФГИС «Моя школа». Мониторинг успеваемости показал, что с начала использования контента и сервисов ФГИС «Моя школа» успеваемость учеников 10-11-х классов выросла на 4 %, 6—9-х классов — на 1,5 %. В остальных классах средний уровень успеваемости остался прежним.</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 2024 году Школа оказывала психолого-педагогическую помощь учащимся из числа семей ветеранов (участников) специальной военной операции (СВО). Мероприятия носили комплексный характер, для их реализации привлекали:</w:t>
      </w:r>
    </w:p>
    <w:p>
      <w:pPr>
        <w:pStyle w:val="Normal"/>
        <w:numPr>
          <w:ilvl w:val="0"/>
          <w:numId w:val="13"/>
        </w:numPr>
        <w:spacing w:before="28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учителей начальных классов;</w:t>
      </w:r>
    </w:p>
    <w:p>
      <w:pPr>
        <w:pStyle w:val="Normal"/>
        <w:numPr>
          <w:ilvl w:val="0"/>
          <w:numId w:val="13"/>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учителей-предметников;</w:t>
      </w:r>
    </w:p>
    <w:p>
      <w:pPr>
        <w:pStyle w:val="Normal"/>
        <w:numPr>
          <w:ilvl w:val="0"/>
          <w:numId w:val="13"/>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социального педагога;</w:t>
      </w:r>
    </w:p>
    <w:p>
      <w:pPr>
        <w:pStyle w:val="Normal"/>
        <w:numPr>
          <w:ilvl w:val="0"/>
          <w:numId w:val="13"/>
        </w:numPr>
        <w:spacing w:before="0" w:after="0"/>
        <w:ind w:left="780" w:right="180" w:hanging="360"/>
        <w:contextualSpacing/>
        <w:jc w:val="both"/>
        <w:rPr>
          <w:rFonts w:ascii="Times New Roman" w:hAnsi="Times New Roman"/>
          <w:sz w:val="24"/>
          <w:szCs w:val="24"/>
        </w:rPr>
      </w:pPr>
      <w:r>
        <w:rPr>
          <w:rFonts w:cs="Times New Roman" w:ascii="Times New Roman" w:hAnsi="Times New Roman"/>
          <w:color w:val="000000"/>
          <w:sz w:val="24"/>
          <w:szCs w:val="24"/>
        </w:rPr>
        <w:t>педагога-психолога;</w:t>
      </w:r>
    </w:p>
    <w:p>
      <w:pPr>
        <w:pStyle w:val="Normal"/>
        <w:numPr>
          <w:ilvl w:val="0"/>
          <w:numId w:val="13"/>
        </w:numPr>
        <w:spacing w:before="0" w:after="280"/>
        <w:ind w:left="780" w:right="180" w:hanging="360"/>
        <w:jc w:val="both"/>
        <w:rPr>
          <w:rFonts w:ascii="Times New Roman" w:hAnsi="Times New Roman"/>
          <w:sz w:val="24"/>
          <w:szCs w:val="24"/>
        </w:rPr>
      </w:pPr>
      <w:r>
        <w:rPr>
          <w:rFonts w:cs="Times New Roman" w:ascii="Times New Roman" w:hAnsi="Times New Roman"/>
          <w:color w:val="000000"/>
          <w:sz w:val="24"/>
          <w:szCs w:val="24"/>
        </w:rPr>
        <w:t>советника директора по воспитанию и взаимодействию с детскими общественными объединениями.</w:t>
      </w:r>
    </w:p>
    <w:p>
      <w:pPr>
        <w:pStyle w:val="Normal"/>
        <w:spacing w:lineRule="auto" w:line="240" w:before="280" w:after="280"/>
        <w:jc w:val="both"/>
        <w:rPr>
          <w:rFonts w:ascii="Times New Roman" w:hAnsi="Times New Roman"/>
          <w:sz w:val="24"/>
          <w:szCs w:val="24"/>
        </w:rPr>
      </w:pPr>
      <w:r>
        <w:rPr>
          <w:rFonts w:eastAsia="Times New Roman" w:cs="Times New Roman" w:ascii="Times New Roman" w:hAnsi="Times New Roman"/>
          <w:color w:val="000000"/>
          <w:sz w:val="24"/>
          <w:szCs w:val="24"/>
        </w:rPr>
        <w:t>Помимо профилактических и просветительских мероприятий в Школе организован ежемесячный мониторинг психологического состояния детей ветеранов (участников) СВО. При выявлении признаков неблагоприятных и деструктивных состояний у учащихся, нуждающихся в повышенном психолого-педагогическом внимании, педагог-психолог оказывал индивидуальную помощь на основании согласий родителей школьников.</w:t>
      </w:r>
    </w:p>
    <w:p>
      <w:pPr>
        <w:pStyle w:val="Normal"/>
        <w:spacing w:lineRule="auto" w:line="240" w:before="0" w:after="142"/>
        <w:jc w:val="center"/>
        <w:rPr>
          <w:rFonts w:ascii="Times New Roman" w:hAnsi="Times New Roman"/>
          <w:sz w:val="24"/>
          <w:szCs w:val="24"/>
        </w:rPr>
      </w:pPr>
      <w:r>
        <w:rPr>
          <w:rFonts w:eastAsia="Times New Roman" w:cs="Times New Roman" w:ascii="Times New Roman" w:hAnsi="Times New Roman"/>
          <w:b/>
          <w:bCs/>
          <w:sz w:val="24"/>
          <w:szCs w:val="24"/>
        </w:rPr>
        <w:t>V. Оценка востребованности выпускников</w:t>
      </w:r>
    </w:p>
    <w:tbl>
      <w:tblPr>
        <w:tblW w:w="5000" w:type="pct"/>
        <w:jc w:val="left"/>
        <w:tblInd w:w="32" w:type="dxa"/>
        <w:tblLayout w:type="fixed"/>
        <w:tblCellMar>
          <w:top w:w="47" w:type="dxa"/>
          <w:left w:w="47" w:type="dxa"/>
          <w:bottom w:w="47" w:type="dxa"/>
          <w:right w:w="47" w:type="dxa"/>
        </w:tblCellMar>
        <w:tblLook w:firstRow="1" w:noVBand="1" w:lastRow="0" w:firstColumn="1" w:lastColumn="0" w:noHBand="0" w:val="04a0"/>
      </w:tblPr>
      <w:tblGrid>
        <w:gridCol w:w="724"/>
        <w:gridCol w:w="537"/>
        <w:gridCol w:w="817"/>
        <w:gridCol w:w="820"/>
        <w:gridCol w:w="1622"/>
        <w:gridCol w:w="535"/>
        <w:gridCol w:w="922"/>
        <w:gridCol w:w="1627"/>
        <w:gridCol w:w="1000"/>
        <w:gridCol w:w="750"/>
      </w:tblGrid>
      <w:tr>
        <w:trPr/>
        <w:tc>
          <w:tcPr>
            <w:tcW w:w="724" w:type="dxa"/>
            <w:vMerge w:val="restart"/>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Год</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выпуска</w:t>
            </w:r>
          </w:p>
        </w:tc>
        <w:tc>
          <w:tcPr>
            <w:tcW w:w="3796" w:type="dxa"/>
            <w:gridSpan w:val="4"/>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Основная школа</w:t>
            </w:r>
          </w:p>
        </w:tc>
        <w:tc>
          <w:tcPr>
            <w:tcW w:w="4834" w:type="dxa"/>
            <w:gridSpan w:val="5"/>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Средняя школа</w:t>
            </w:r>
          </w:p>
        </w:tc>
      </w:tr>
      <w:tr>
        <w:trPr/>
        <w:tc>
          <w:tcPr>
            <w:tcW w:w="724" w:type="dxa"/>
            <w:vMerge w:val="continue"/>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vAlign w:val="center"/>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c>
          <w:tcPr>
            <w:tcW w:w="53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Всего</w:t>
            </w:r>
          </w:p>
        </w:tc>
        <w:tc>
          <w:tcPr>
            <w:tcW w:w="81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Перешли в</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10-й класс</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Школы</w:t>
            </w:r>
          </w:p>
        </w:tc>
        <w:tc>
          <w:tcPr>
            <w:tcW w:w="82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Перешли в</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10-й класс</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другой ОО</w:t>
            </w:r>
          </w:p>
        </w:tc>
        <w:tc>
          <w:tcPr>
            <w:tcW w:w="1622"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Поступили в</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профессиональную</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ОО</w:t>
            </w:r>
          </w:p>
        </w:tc>
        <w:tc>
          <w:tcPr>
            <w:tcW w:w="535"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Всего</w:t>
            </w:r>
          </w:p>
        </w:tc>
        <w:tc>
          <w:tcPr>
            <w:tcW w:w="922"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Поступили</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в ВУЗ</w:t>
            </w:r>
          </w:p>
        </w:tc>
        <w:tc>
          <w:tcPr>
            <w:tcW w:w="162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Поступили в</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профессиональную</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ОО</w:t>
            </w:r>
          </w:p>
        </w:tc>
        <w:tc>
          <w:tcPr>
            <w:tcW w:w="100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Устроились</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на работу</w:t>
            </w:r>
          </w:p>
        </w:tc>
        <w:tc>
          <w:tcPr>
            <w:tcW w:w="75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Пошли на</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срочную</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службу по</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br/>
              <w:t>призыву</w:t>
            </w:r>
          </w:p>
        </w:tc>
      </w:tr>
      <w:tr>
        <w:trPr/>
        <w:tc>
          <w:tcPr>
            <w:tcW w:w="724"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2022</w:t>
            </w:r>
          </w:p>
        </w:tc>
        <w:tc>
          <w:tcPr>
            <w:tcW w:w="537"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47</w:t>
            </w:r>
          </w:p>
        </w:tc>
        <w:tc>
          <w:tcPr>
            <w:tcW w:w="817"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21 (44,6%)</w:t>
            </w:r>
          </w:p>
        </w:tc>
        <w:tc>
          <w:tcPr>
            <w:tcW w:w="820"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1</w:t>
            </w:r>
          </w:p>
        </w:tc>
        <w:tc>
          <w:tcPr>
            <w:tcW w:w="1622"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25</w:t>
            </w:r>
          </w:p>
        </w:tc>
        <w:tc>
          <w:tcPr>
            <w:tcW w:w="535"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24</w:t>
            </w:r>
          </w:p>
        </w:tc>
        <w:tc>
          <w:tcPr>
            <w:tcW w:w="922"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17 (70,8%)</w:t>
            </w:r>
          </w:p>
        </w:tc>
        <w:tc>
          <w:tcPr>
            <w:tcW w:w="1627"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7</w:t>
            </w:r>
          </w:p>
        </w:tc>
        <w:tc>
          <w:tcPr>
            <w:tcW w:w="1000"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0</w:t>
            </w:r>
          </w:p>
        </w:tc>
        <w:tc>
          <w:tcPr>
            <w:tcW w:w="750" w:type="dxa"/>
            <w:tcBorders>
              <w:top w:val="single" w:sz="4" w:space="0" w:color="222222"/>
              <w:left w:val="single" w:sz="4" w:space="0" w:color="222222"/>
              <w:bottom w:val="single" w:sz="4" w:space="0" w:color="222222"/>
              <w:right w:val="single" w:sz="4" w:space="0" w:color="222222"/>
            </w:tcBorders>
          </w:tcPr>
          <w:p>
            <w:pPr>
              <w:pStyle w:val="Normal"/>
              <w:widowControl w:val="false"/>
              <w:spacing w:before="0" w:after="200"/>
              <w:jc w:val="center"/>
              <w:rPr>
                <w:rFonts w:ascii="Times New Roman" w:hAnsi="Times New Roman" w:cs="Times New Roman"/>
                <w:sz w:val="22"/>
                <w:szCs w:val="22"/>
              </w:rPr>
            </w:pPr>
            <w:r>
              <w:rPr>
                <w:rFonts w:cs="Times New Roman" w:ascii="Times New Roman" w:hAnsi="Times New Roman"/>
                <w:sz w:val="22"/>
                <w:szCs w:val="22"/>
              </w:rPr>
              <w:t>0</w:t>
            </w:r>
          </w:p>
        </w:tc>
      </w:tr>
      <w:tr>
        <w:trPr/>
        <w:tc>
          <w:tcPr>
            <w:tcW w:w="724"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2023</w:t>
            </w:r>
          </w:p>
        </w:tc>
        <w:tc>
          <w:tcPr>
            <w:tcW w:w="53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55</w:t>
            </w:r>
          </w:p>
        </w:tc>
        <w:tc>
          <w:tcPr>
            <w:tcW w:w="81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23 (41,8%)</w:t>
            </w:r>
          </w:p>
        </w:tc>
        <w:tc>
          <w:tcPr>
            <w:tcW w:w="82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3</w:t>
            </w:r>
          </w:p>
        </w:tc>
        <w:tc>
          <w:tcPr>
            <w:tcW w:w="1622"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29 (52,7%)</w:t>
            </w:r>
          </w:p>
        </w:tc>
        <w:tc>
          <w:tcPr>
            <w:tcW w:w="535"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16</w:t>
            </w:r>
          </w:p>
        </w:tc>
        <w:tc>
          <w:tcPr>
            <w:tcW w:w="922"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11</w:t>
            </w:r>
          </w:p>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(68,75%)</w:t>
            </w:r>
          </w:p>
        </w:tc>
        <w:tc>
          <w:tcPr>
            <w:tcW w:w="162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4</w:t>
            </w:r>
          </w:p>
        </w:tc>
        <w:tc>
          <w:tcPr>
            <w:tcW w:w="100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1</w:t>
            </w:r>
          </w:p>
        </w:tc>
        <w:tc>
          <w:tcPr>
            <w:tcW w:w="75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0</w:t>
            </w:r>
          </w:p>
        </w:tc>
      </w:tr>
      <w:tr>
        <w:trPr/>
        <w:tc>
          <w:tcPr>
            <w:tcW w:w="724"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2024</w:t>
            </w:r>
          </w:p>
        </w:tc>
        <w:tc>
          <w:tcPr>
            <w:tcW w:w="53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49</w:t>
            </w:r>
          </w:p>
        </w:tc>
        <w:tc>
          <w:tcPr>
            <w:tcW w:w="81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26 (53%)</w:t>
            </w:r>
          </w:p>
        </w:tc>
        <w:tc>
          <w:tcPr>
            <w:tcW w:w="82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w:t>
            </w:r>
          </w:p>
        </w:tc>
        <w:tc>
          <w:tcPr>
            <w:tcW w:w="1622"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21 (42,9%)</w:t>
            </w:r>
          </w:p>
        </w:tc>
        <w:tc>
          <w:tcPr>
            <w:tcW w:w="535"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20</w:t>
            </w:r>
          </w:p>
        </w:tc>
        <w:tc>
          <w:tcPr>
            <w:tcW w:w="922"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13 (65%)</w:t>
            </w:r>
          </w:p>
        </w:tc>
        <w:tc>
          <w:tcPr>
            <w:tcW w:w="1627"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5</w:t>
            </w:r>
          </w:p>
        </w:tc>
        <w:tc>
          <w:tcPr>
            <w:tcW w:w="100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1</w:t>
            </w:r>
          </w:p>
        </w:tc>
        <w:tc>
          <w:tcPr>
            <w:tcW w:w="750" w:type="dxa"/>
            <w:tcBorders>
              <w:top w:val="single" w:sz="4" w:space="0" w:color="222222"/>
              <w:left w:val="single" w:sz="4" w:space="0" w:color="222222"/>
              <w:bottom w:val="single" w:sz="4" w:space="0" w:color="222222"/>
              <w:right w:val="single" w:sz="4" w:space="0" w:color="222222"/>
            </w:tcBorders>
          </w:tcPr>
          <w:p>
            <w:pPr>
              <w:pStyle w:val="Normal"/>
              <w:widowControl w:val="false"/>
              <w:spacing w:lineRule="auto" w:line="240" w:before="0" w:after="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t>1</w:t>
            </w:r>
          </w:p>
        </w:tc>
      </w:tr>
    </w:tbl>
    <w:p>
      <w:pPr>
        <w:pStyle w:val="Normal"/>
        <w:spacing w:lineRule="auto" w:line="240" w:before="0" w:after="142"/>
        <w:rPr>
          <w:rFonts w:eastAsia="Times New Roman" w:cs="Arial"/>
        </w:rPr>
      </w:pPr>
      <w:r>
        <w:rPr>
          <w:rFonts w:eastAsia="Times New Roman" w:cs="Arial"/>
        </w:rPr>
      </w:r>
    </w:p>
    <w:p>
      <w:pPr>
        <w:pStyle w:val="Normal"/>
        <w:spacing w:lineRule="auto" w:line="240" w:before="0" w:after="142"/>
        <w:rPr>
          <w:rFonts w:ascii="Times New Roman" w:hAnsi="Times New Roman"/>
          <w:sz w:val="24"/>
          <w:szCs w:val="24"/>
        </w:rPr>
      </w:pPr>
      <w:r>
        <w:rPr>
          <w:rFonts w:eastAsia="Times New Roman" w:cs="Arial" w:ascii="Times New Roman" w:hAnsi="Times New Roman"/>
          <w:sz w:val="24"/>
          <w:szCs w:val="24"/>
        </w:rPr>
        <w:t>В 2024 году уменьшилось число выпускников 9-го класса, которые продолжили обучение в профессиональных ОО.</w:t>
      </w:r>
    </w:p>
    <w:p>
      <w:pPr>
        <w:pStyle w:val="Normal"/>
        <w:spacing w:lineRule="auto" w:line="240" w:before="0" w:after="142"/>
        <w:rPr>
          <w:rFonts w:ascii="Times New Roman" w:hAnsi="Times New Roman"/>
          <w:sz w:val="24"/>
          <w:szCs w:val="24"/>
        </w:rPr>
      </w:pPr>
      <w:r>
        <w:rPr>
          <w:rFonts w:eastAsia="Times New Roman" w:cs="Arial" w:ascii="Times New Roman" w:hAnsi="Times New Roman"/>
          <w:sz w:val="24"/>
          <w:szCs w:val="24"/>
        </w:rPr>
        <w:t xml:space="preserve">Количество выпускников 11 классов, поступающих в ВУЗ, стабильно. </w:t>
      </w:r>
    </w:p>
    <w:p>
      <w:pPr>
        <w:pStyle w:val="Normal"/>
        <w:spacing w:lineRule="auto" w:line="240" w:before="0" w:after="142"/>
        <w:rPr>
          <w:rFonts w:eastAsia="Times New Roman" w:cs="Arial"/>
        </w:rPr>
      </w:pPr>
      <w:r>
        <w:rPr>
          <w:rFonts w:eastAsia="Times New Roman" w:cs="Arial"/>
        </w:rPr>
      </w:r>
    </w:p>
    <w:p>
      <w:pPr>
        <w:pStyle w:val="Normal"/>
        <w:spacing w:lineRule="auto" w:line="240" w:before="0" w:after="142"/>
        <w:jc w:val="center"/>
        <w:rPr>
          <w:rFonts w:ascii="Times New Roman" w:hAnsi="Times New Roman"/>
          <w:sz w:val="24"/>
          <w:szCs w:val="24"/>
        </w:rPr>
      </w:pPr>
      <w:r>
        <w:rPr>
          <w:rFonts w:eastAsia="Times New Roman" w:cs="Arial" w:ascii="Times New Roman" w:hAnsi="Times New Roman"/>
          <w:b/>
          <w:bCs/>
          <w:color w:val="222222"/>
          <w:sz w:val="24"/>
          <w:szCs w:val="24"/>
        </w:rPr>
        <w:t>VI. Оценка качества кадрового обеспечения</w:t>
      </w:r>
    </w:p>
    <w:p>
      <w:pPr>
        <w:pStyle w:val="Normal"/>
        <w:spacing w:before="120" w:after="0"/>
        <w:rPr>
          <w:rFonts w:ascii="Times New Roman" w:hAnsi="Times New Roman"/>
          <w:sz w:val="24"/>
          <w:szCs w:val="24"/>
        </w:rPr>
      </w:pPr>
      <w:r>
        <w:rPr>
          <w:rFonts w:cs="Times New Roman" w:ascii="Times New Roman" w:hAnsi="Times New Roman"/>
          <w:sz w:val="24"/>
          <w:szCs w:val="24"/>
        </w:rPr>
        <w:t>На период самообследования в Школе работают 29 педагогических работников (3 внешних совместителя), из них руководителей – 1, учителей – 26, социальный педагог - 1, педагог-психолог – 1.  Имеют  высшее педагогическое  образование 26 человек, среднее специальное образование – 3  человека.  Высшую  квалификационную категорию имеют 3  педагога школы, первую  квалификационную категорию  - 3  человека, квалификационную категорию «педагог-методист» - 1 человек.  Почетной грамотой министерства образования и науки РФ  награждены 5 педагогов, имеет знак «Отличник народного просвещения» - 1 педагог.  По стажу педагогической деятельности отмечается следующее: имеют стаж педагогической работы свыше 25 лет – 15 человек, от 3 до 25 лет – 12 человек, молодые специалисты со стажем от 1 года до 3 лет – 2 человека. Молодые специалисты, работающие первый год, отсутствуют.</w:t>
      </w:r>
    </w:p>
    <w:p>
      <w:pPr>
        <w:pStyle w:val="Normal"/>
        <w:spacing w:before="0" w:after="0"/>
        <w:rPr>
          <w:rFonts w:ascii="Times New Roman" w:hAnsi="Times New Roman"/>
          <w:sz w:val="24"/>
          <w:szCs w:val="24"/>
        </w:rPr>
      </w:pPr>
      <w:r>
        <w:rPr>
          <w:rFonts w:cs="Times New Roman" w:ascii="Times New Roman" w:hAnsi="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pPr>
        <w:pStyle w:val="Normal"/>
        <w:spacing w:before="0" w:after="0"/>
        <w:rPr>
          <w:rFonts w:ascii="Times New Roman" w:hAnsi="Times New Roman"/>
          <w:sz w:val="24"/>
          <w:szCs w:val="24"/>
        </w:rPr>
      </w:pPr>
      <w:r>
        <w:rPr>
          <w:rFonts w:cs="Times New Roman" w:ascii="Times New Roman" w:hAnsi="Times New Roman"/>
          <w:sz w:val="24"/>
          <w:szCs w:val="24"/>
        </w:rPr>
        <w:t>Основные принципы кадровой политики направлены:</w:t>
      </w:r>
    </w:p>
    <w:p>
      <w:pPr>
        <w:pStyle w:val="Normal"/>
        <w:spacing w:before="0" w:after="0"/>
        <w:rPr>
          <w:rFonts w:ascii="Times New Roman" w:hAnsi="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на сохранение, укрепление и развитие кадрового потенциала;</w:t>
      </w:r>
    </w:p>
    <w:p>
      <w:pPr>
        <w:pStyle w:val="Normal"/>
        <w:spacing w:before="0" w:after="0"/>
        <w:rPr>
          <w:rFonts w:ascii="Times New Roman" w:hAnsi="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создание квалифицированного коллектива, способного работать в современных условиях;</w:t>
      </w:r>
    </w:p>
    <w:p>
      <w:pPr>
        <w:pStyle w:val="Normal"/>
        <w:spacing w:before="0" w:after="0"/>
        <w:rPr>
          <w:rFonts w:ascii="Times New Roman" w:hAnsi="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повышения уровня квалификации персонала.</w:t>
      </w:r>
    </w:p>
    <w:p>
      <w:pPr>
        <w:pStyle w:val="Normal"/>
        <w:spacing w:before="0" w:after="0"/>
        <w:rPr>
          <w:rFonts w:ascii="Times New Roman" w:hAnsi="Times New Roman"/>
          <w:sz w:val="24"/>
          <w:szCs w:val="24"/>
        </w:rPr>
      </w:pPr>
      <w:r>
        <w:rPr>
          <w:rFonts w:cs="Times New Roman" w:ascii="Times New Roman" w:hAnsi="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pPr>
        <w:pStyle w:val="Normal"/>
        <w:spacing w:before="0" w:after="0"/>
        <w:rPr>
          <w:rFonts w:ascii="Times New Roman" w:hAnsi="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кадровый потенциал Школы динамично развивается на основе целенаправленной работы по повышению квалификации педагогов и профессиональной переподготовке (11 педагогов в своей деятельности осуществляют функции педагогов различного направления: например, «учитель начальных классов и музыки», «учитель начальных классов и ИЗО», «учитель математики и технологии»). За последние 3 года в штатное расписание Школы помимо должности «учитель» введены должности:  «педагог  дополнительного образования», «педагог-психолог», «социальный  педагог».</w:t>
      </w:r>
    </w:p>
    <w:p>
      <w:pPr>
        <w:pStyle w:val="Normal"/>
        <w:spacing w:before="120" w:after="0"/>
        <w:rPr>
          <w:rFonts w:ascii="Times New Roman" w:hAnsi="Times New Roman"/>
          <w:sz w:val="24"/>
          <w:szCs w:val="24"/>
        </w:rPr>
      </w:pPr>
      <w:r>
        <w:rPr>
          <w:rFonts w:eastAsia="Times New Roman" w:cs="Times New Roman" w:ascii="Times New Roman" w:hAnsi="Times New Roman"/>
          <w:sz w:val="24"/>
          <w:szCs w:val="24"/>
        </w:rPr>
        <w:t>О</w:t>
      </w:r>
      <w:r>
        <w:rPr>
          <w:rFonts w:cs="Times New Roman" w:ascii="Times New Roman" w:hAnsi="Times New Roman"/>
          <w:sz w:val="24"/>
          <w:szCs w:val="24"/>
        </w:rPr>
        <w:t>бразовательная деятельность в школе обеспечена квалифицированным профессиональным педагогическим составом.</w:t>
      </w:r>
    </w:p>
    <w:p>
      <w:pPr>
        <w:pStyle w:val="Normal"/>
        <w:spacing w:lineRule="auto" w:line="240" w:before="0" w:after="142"/>
        <w:rPr>
          <w:rFonts w:ascii="Times New Roman" w:hAnsi="Times New Roman"/>
          <w:sz w:val="24"/>
          <w:szCs w:val="24"/>
        </w:rPr>
      </w:pPr>
      <w:r>
        <w:rPr>
          <w:rFonts w:eastAsia="Times New Roman" w:cs="Times New Roman" w:ascii="Times New Roman" w:hAnsi="Times New Roman"/>
          <w:color w:val="222222"/>
          <w:sz w:val="24"/>
          <w:szCs w:val="24"/>
        </w:rPr>
        <w:t>В рамках реализации  мероприятий  по повышению профессиональных компетенций педагогов для успешного внедрения федеральных образовательных программ в школе 100% педагогов прошли обучение по программам повышения квалификации соответствующего уровня обучения.</w:t>
      </w:r>
    </w:p>
    <w:p>
      <w:pPr>
        <w:pStyle w:val="Normal"/>
        <w:spacing w:lineRule="auto" w:line="240" w:before="280" w:after="280"/>
        <w:jc w:val="both"/>
        <w:rPr>
          <w:rFonts w:ascii="Times New Roman" w:hAnsi="Times New Roman"/>
          <w:sz w:val="24"/>
          <w:szCs w:val="24"/>
        </w:rPr>
      </w:pPr>
      <w:r>
        <w:rPr>
          <w:rFonts w:cs="Times New Roman" w:ascii="Times New Roman" w:hAnsi="Times New Roman"/>
          <w:color w:val="000000"/>
          <w:sz w:val="24"/>
          <w:szCs w:val="24"/>
        </w:rPr>
        <w:t>В августе 2024 года педагогические работники Школы прошли плановое обучение навыкам оказания первой помощи в соответствии с Порядком оказания первой помощи, утвержденным приказом Минздрава России от 03.05.2024 № 220н. Для остальных работников проведен внеплановый инструктаж по охране труда с целью ознакомления с изменениями условий оказания первой помощи пострадавшим.</w:t>
      </w:r>
    </w:p>
    <w:p>
      <w:pPr>
        <w:pStyle w:val="Normal"/>
        <w:spacing w:lineRule="auto" w:line="240" w:before="0" w:after="142"/>
        <w:jc w:val="center"/>
        <w:rPr>
          <w:rFonts w:ascii="Times New Roman" w:hAnsi="Times New Roman"/>
          <w:sz w:val="24"/>
          <w:szCs w:val="24"/>
        </w:rPr>
      </w:pPr>
      <w:r>
        <w:rPr>
          <w:rFonts w:eastAsia="Times New Roman" w:cs="Arial" w:ascii="Times New Roman" w:hAnsi="Times New Roman"/>
          <w:b/>
          <w:bCs/>
          <w:color w:val="222222"/>
          <w:sz w:val="24"/>
          <w:szCs w:val="24"/>
        </w:rPr>
        <w:t>VII. Оценка качества учебно-методического и библиотечно-информационного обеспечения</w:t>
      </w:r>
    </w:p>
    <w:p>
      <w:pPr>
        <w:pStyle w:val="Normal"/>
        <w:spacing w:before="0" w:after="0"/>
        <w:rPr>
          <w:rFonts w:ascii="Times New Roman" w:hAnsi="Times New Roman"/>
          <w:sz w:val="24"/>
          <w:szCs w:val="24"/>
        </w:rPr>
      </w:pPr>
      <w:r>
        <w:rPr>
          <w:rFonts w:eastAsia="Times New Roman" w:cs="Times New Roman" w:ascii="Times New Roman" w:hAnsi="Times New Roman"/>
          <w:iCs/>
          <w:sz w:val="24"/>
          <w:szCs w:val="24"/>
        </w:rPr>
        <w:t>Общая характеристика:</w:t>
      </w:r>
    </w:p>
    <w:p>
      <w:pPr>
        <w:pStyle w:val="Normal"/>
        <w:numPr>
          <w:ilvl w:val="0"/>
          <w:numId w:val="6"/>
        </w:numPr>
        <w:spacing w:before="0" w:after="0"/>
        <w:ind w:left="245" w:hanging="360"/>
        <w:rPr>
          <w:rFonts w:ascii="Times New Roman" w:hAnsi="Times New Roman"/>
          <w:sz w:val="24"/>
          <w:szCs w:val="24"/>
        </w:rPr>
      </w:pPr>
      <w:r>
        <w:rPr>
          <w:rFonts w:eastAsia="Times New Roman" w:cs="Times New Roman" w:ascii="Times New Roman" w:hAnsi="Times New Roman"/>
          <w:iCs/>
          <w:sz w:val="24"/>
          <w:szCs w:val="24"/>
        </w:rPr>
        <w:t>объем библиотечного фонда – 22123  единицы;</w:t>
      </w:r>
    </w:p>
    <w:p>
      <w:pPr>
        <w:pStyle w:val="Normal"/>
        <w:numPr>
          <w:ilvl w:val="0"/>
          <w:numId w:val="6"/>
        </w:numPr>
        <w:spacing w:before="0" w:after="0"/>
        <w:ind w:left="245" w:hanging="360"/>
        <w:rPr>
          <w:rFonts w:ascii="Times New Roman" w:hAnsi="Times New Roman"/>
          <w:sz w:val="24"/>
          <w:szCs w:val="24"/>
        </w:rPr>
      </w:pPr>
      <w:r>
        <w:rPr>
          <w:rFonts w:eastAsia="Times New Roman" w:cs="Times New Roman" w:ascii="Times New Roman" w:hAnsi="Times New Roman"/>
          <w:iCs/>
          <w:sz w:val="24"/>
          <w:szCs w:val="24"/>
        </w:rPr>
        <w:t>книгообеспеченность – 80 процентов;</w:t>
      </w:r>
    </w:p>
    <w:p>
      <w:pPr>
        <w:pStyle w:val="Normal"/>
        <w:numPr>
          <w:ilvl w:val="0"/>
          <w:numId w:val="6"/>
        </w:numPr>
        <w:spacing w:before="0" w:after="0"/>
        <w:ind w:left="245" w:hanging="360"/>
        <w:rPr>
          <w:rFonts w:ascii="Times New Roman" w:hAnsi="Times New Roman"/>
          <w:sz w:val="24"/>
          <w:szCs w:val="24"/>
        </w:rPr>
      </w:pPr>
      <w:r>
        <w:rPr>
          <w:rFonts w:eastAsia="Times New Roman" w:cs="Times New Roman" w:ascii="Times New Roman" w:hAnsi="Times New Roman"/>
          <w:iCs/>
          <w:sz w:val="24"/>
          <w:szCs w:val="24"/>
        </w:rPr>
        <w:t>обращаемость – 3912  единиц в год;</w:t>
      </w:r>
    </w:p>
    <w:p>
      <w:pPr>
        <w:pStyle w:val="Normal"/>
        <w:numPr>
          <w:ilvl w:val="0"/>
          <w:numId w:val="6"/>
        </w:numPr>
        <w:spacing w:before="0" w:after="0"/>
        <w:ind w:left="245" w:hanging="360"/>
        <w:rPr>
          <w:rFonts w:ascii="Times New Roman" w:hAnsi="Times New Roman"/>
          <w:sz w:val="24"/>
          <w:szCs w:val="24"/>
        </w:rPr>
      </w:pPr>
      <w:r>
        <w:rPr>
          <w:rFonts w:eastAsia="Times New Roman" w:cs="Times New Roman" w:ascii="Times New Roman" w:hAnsi="Times New Roman"/>
          <w:iCs/>
          <w:sz w:val="24"/>
          <w:szCs w:val="24"/>
        </w:rPr>
        <w:t>объем учебного фонда – 7 189 единиц.</w:t>
      </w:r>
    </w:p>
    <w:p>
      <w:pPr>
        <w:pStyle w:val="Normal"/>
        <w:spacing w:before="0" w:after="204"/>
        <w:rPr>
          <w:rFonts w:ascii="Times New Roman" w:hAnsi="Times New Roman"/>
          <w:sz w:val="24"/>
          <w:szCs w:val="24"/>
        </w:rPr>
      </w:pPr>
      <w:r>
        <w:rPr>
          <w:rFonts w:eastAsia="Times New Roman" w:cs="Times New Roman" w:ascii="Times New Roman" w:hAnsi="Times New Roman"/>
          <w:iCs/>
          <w:sz w:val="24"/>
          <w:szCs w:val="24"/>
        </w:rPr>
        <w:t>Фонд библиотеки формируется за счет федерального, областного, местного бюджетов.</w:t>
      </w:r>
    </w:p>
    <w:p>
      <w:pPr>
        <w:pStyle w:val="Normal"/>
        <w:spacing w:lineRule="auto" w:line="240" w:before="0" w:after="0"/>
        <w:jc w:val="center"/>
        <w:rPr>
          <w:rFonts w:ascii="Times New Roman" w:hAnsi="Times New Roman"/>
          <w:sz w:val="24"/>
          <w:szCs w:val="24"/>
        </w:rPr>
      </w:pPr>
      <w:r>
        <w:rPr>
          <w:rFonts w:eastAsia="Times New Roman" w:cs="Times New Roman" w:ascii="Times New Roman" w:hAnsi="Times New Roman"/>
          <w:sz w:val="24"/>
          <w:szCs w:val="24"/>
        </w:rPr>
        <w:t>Состав фонда и его использование</w:t>
      </w:r>
    </w:p>
    <w:tbl>
      <w:tblPr>
        <w:tblW w:w="5000" w:type="pct"/>
        <w:jc w:val="center"/>
        <w:tblInd w:w="0" w:type="dxa"/>
        <w:tblLayout w:type="fixed"/>
        <w:tblCellMar>
          <w:top w:w="68" w:type="dxa"/>
          <w:left w:w="68" w:type="dxa"/>
          <w:bottom w:w="68" w:type="dxa"/>
          <w:right w:w="68" w:type="dxa"/>
        </w:tblCellMar>
        <w:tblLook w:firstRow="1" w:noVBand="1" w:lastRow="0" w:firstColumn="1" w:lastColumn="0" w:noHBand="0" w:val="04a0"/>
      </w:tblPr>
      <w:tblGrid>
        <w:gridCol w:w="418"/>
        <w:gridCol w:w="3443"/>
        <w:gridCol w:w="2846"/>
        <w:gridCol w:w="2647"/>
      </w:tblGrid>
      <w:tr>
        <w:trPr/>
        <w:tc>
          <w:tcPr>
            <w:tcW w:w="418"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w:t>
            </w:r>
          </w:p>
        </w:tc>
        <w:tc>
          <w:tcPr>
            <w:tcW w:w="3443"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Вид литературы</w:t>
            </w:r>
          </w:p>
        </w:tc>
        <w:tc>
          <w:tcPr>
            <w:tcW w:w="2846"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Количество единиц в фонде</w:t>
            </w:r>
          </w:p>
        </w:tc>
        <w:tc>
          <w:tcPr>
            <w:tcW w:w="2647"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Сколько экземпляров</w:t>
            </w:r>
          </w:p>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выдавалось за год</w:t>
            </w:r>
          </w:p>
        </w:tc>
      </w:tr>
      <w:tr>
        <w:trPr/>
        <w:tc>
          <w:tcPr>
            <w:tcW w:w="418"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1</w:t>
            </w:r>
          </w:p>
        </w:tc>
        <w:tc>
          <w:tcPr>
            <w:tcW w:w="3443"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Учебная</w:t>
            </w:r>
          </w:p>
        </w:tc>
        <w:tc>
          <w:tcPr>
            <w:tcW w:w="2846"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7 189</w:t>
            </w:r>
          </w:p>
        </w:tc>
        <w:tc>
          <w:tcPr>
            <w:tcW w:w="2647"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7 189</w:t>
            </w:r>
          </w:p>
        </w:tc>
      </w:tr>
      <w:tr>
        <w:trPr/>
        <w:tc>
          <w:tcPr>
            <w:tcW w:w="418"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2</w:t>
            </w:r>
          </w:p>
        </w:tc>
        <w:tc>
          <w:tcPr>
            <w:tcW w:w="3443"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Педагогическая</w:t>
            </w:r>
          </w:p>
        </w:tc>
        <w:tc>
          <w:tcPr>
            <w:tcW w:w="2846"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38</w:t>
            </w:r>
          </w:p>
        </w:tc>
        <w:tc>
          <w:tcPr>
            <w:tcW w:w="2647"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15</w:t>
            </w:r>
          </w:p>
        </w:tc>
      </w:tr>
      <w:tr>
        <w:trPr/>
        <w:tc>
          <w:tcPr>
            <w:tcW w:w="418"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3</w:t>
            </w:r>
          </w:p>
        </w:tc>
        <w:tc>
          <w:tcPr>
            <w:tcW w:w="3443"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Художественная</w:t>
            </w:r>
          </w:p>
        </w:tc>
        <w:tc>
          <w:tcPr>
            <w:tcW w:w="2846"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13 759</w:t>
            </w:r>
          </w:p>
        </w:tc>
        <w:tc>
          <w:tcPr>
            <w:tcW w:w="2647"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iCs/>
                <w:sz w:val="24"/>
                <w:szCs w:val="24"/>
              </w:rPr>
              <w:t>13 759</w:t>
            </w:r>
          </w:p>
        </w:tc>
      </w:tr>
    </w:tbl>
    <w:p>
      <w:pPr>
        <w:pStyle w:val="Normal"/>
        <w:spacing w:lineRule="auto" w:line="240" w:before="0" w:after="142"/>
        <w:rPr>
          <w:rFonts w:ascii="Times New Roman" w:hAnsi="Times New Roman"/>
          <w:sz w:val="24"/>
          <w:szCs w:val="24"/>
        </w:rPr>
      </w:pPr>
      <w:r>
        <w:rPr>
          <w:rFonts w:ascii="Times New Roman" w:hAnsi="Times New Roman"/>
          <w:sz w:val="24"/>
          <w:szCs w:val="24"/>
        </w:rPr>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 xml:space="preserve">В библиотеке имеются электронные образовательные ресурсы, мультимедийные средства (презентации, электронные энциклопедии, дидактические материалы). </w:t>
      </w:r>
      <w:r>
        <w:rPr>
          <w:rFonts w:eastAsia="Times New Roman" w:cs="Times New Roman" w:ascii="Times New Roman" w:hAnsi="Times New Roman"/>
          <w:color w:val="000000"/>
          <w:sz w:val="24"/>
          <w:szCs w:val="24"/>
        </w:rPr>
        <w:t>Действует подключение к ресурсам ФГИС «Моя школа».</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Средний уровень посещаемости библиотеки — 26  человек в день.</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Оснащенность библиотеки учебными пособиями не достаточная,  требуется дополнительное финансирование библиотеки в том числе на  обновление фонда художественной литературы.</w:t>
      </w:r>
    </w:p>
    <w:p>
      <w:pPr>
        <w:pStyle w:val="Normal"/>
        <w:spacing w:lineRule="auto" w:line="240" w:before="0" w:after="142"/>
        <w:rPr/>
      </w:pPr>
      <w:r>
        <w:rPr>
          <w:rFonts w:eastAsia="Times New Roman" w:cs="Arial" w:ascii="Times New Roman" w:hAnsi="Times New Roman"/>
          <w:color w:val="222222"/>
          <w:sz w:val="24"/>
          <w:szCs w:val="24"/>
        </w:rPr>
        <w:t>Помимо официального сайта Школа регулярно ведет официальную страницу в социальной сети ВКонтакте (госпаблик) — с 15.01.2023. Работа госпаблика регламентируется </w:t>
      </w:r>
      <w:hyperlink r:id="rId3">
        <w:r>
          <w:rPr>
            <w:rFonts w:eastAsia="Times New Roman" w:cs="Arial" w:ascii="Times New Roman" w:hAnsi="Times New Roman"/>
            <w:color w:val="01745C"/>
            <w:sz w:val="24"/>
            <w:szCs w:val="24"/>
          </w:rPr>
          <w:t>Федеральным законом от 09.02.2009 № 8-ФЗ</w:t>
        </w:r>
      </w:hyperlink>
      <w:r>
        <w:rPr>
          <w:rFonts w:eastAsia="Times New Roman" w:cs="Arial" w:ascii="Times New Roman" w:hAnsi="Times New Roman"/>
          <w:color w:val="222222"/>
          <w:sz w:val="24"/>
          <w:szCs w:val="24"/>
        </w:rPr>
        <w:t>, </w:t>
      </w:r>
      <w:hyperlink r:id="rId4">
        <w:r>
          <w:rPr>
            <w:rFonts w:eastAsia="Times New Roman" w:cs="Arial" w:ascii="Times New Roman" w:hAnsi="Times New Roman"/>
            <w:color w:val="01745C"/>
            <w:sz w:val="24"/>
            <w:szCs w:val="24"/>
          </w:rPr>
          <w:t>постановлением Правительства от 31.12.2022 № 2560</w:t>
        </w:r>
      </w:hyperlink>
      <w:r>
        <w:rPr>
          <w:rFonts w:eastAsia="Times New Roman" w:cs="Arial" w:ascii="Times New Roman" w:hAnsi="Times New Roman"/>
          <w:color w:val="222222"/>
          <w:sz w:val="24"/>
          <w:szCs w:val="24"/>
        </w:rPr>
        <w:t>, рекомендациями Минцифры и локальными актами Школы.</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В госпаблике всегда присутствует информация:</w:t>
      </w:r>
    </w:p>
    <w:p>
      <w:pPr>
        <w:pStyle w:val="Normal"/>
        <w:numPr>
          <w:ilvl w:val="0"/>
          <w:numId w:val="9"/>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наименование Школы;</w:t>
      </w:r>
    </w:p>
    <w:p>
      <w:pPr>
        <w:pStyle w:val="Normal"/>
        <w:numPr>
          <w:ilvl w:val="0"/>
          <w:numId w:val="9"/>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почтовый адрес, адрес электронной почты и номера телефонов справочных служб Школы;</w:t>
      </w:r>
    </w:p>
    <w:p>
      <w:pPr>
        <w:pStyle w:val="Normal"/>
        <w:numPr>
          <w:ilvl w:val="0"/>
          <w:numId w:val="9"/>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информация об официальном сайте Школы;</w:t>
      </w:r>
    </w:p>
    <w:p>
      <w:pPr>
        <w:pStyle w:val="Normal"/>
        <w:numPr>
          <w:ilvl w:val="0"/>
          <w:numId w:val="9"/>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иная информацию о Школе и ее деятельности.</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Визуальное оформление госпаблика Школы включает:</w:t>
      </w:r>
    </w:p>
    <w:p>
      <w:pPr>
        <w:pStyle w:val="Normal"/>
        <w:numPr>
          <w:ilvl w:val="0"/>
          <w:numId w:val="10"/>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аватар — основное изображение страницы, выполняющее функции визуальной идентификации;</w:t>
      </w:r>
    </w:p>
    <w:p>
      <w:pPr>
        <w:pStyle w:val="Normal"/>
        <w:numPr>
          <w:ilvl w:val="0"/>
          <w:numId w:val="10"/>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обложку — широкоформатное изображение, размещаемое над основной информацией официальной страницы;</w:t>
      </w:r>
    </w:p>
    <w:p>
      <w:pPr>
        <w:pStyle w:val="Normal"/>
        <w:numPr>
          <w:ilvl w:val="0"/>
          <w:numId w:val="10"/>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описание страницы, которое содержит основную информацию о Школе;</w:t>
      </w:r>
    </w:p>
    <w:p>
      <w:pPr>
        <w:pStyle w:val="Normal"/>
        <w:numPr>
          <w:ilvl w:val="0"/>
          <w:numId w:val="10"/>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меню страницы со ссылками, описаниями и графическими изображениями для удобства навигации пользователей.</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Меню официальной страницы содержит три типа ссылок:</w:t>
      </w:r>
    </w:p>
    <w:p>
      <w:pPr>
        <w:pStyle w:val="Normal"/>
        <w:numPr>
          <w:ilvl w:val="0"/>
          <w:numId w:val="11"/>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на электронную форму Платформы обратной связи (ПОС) для подачи пользователями сообщений и обращений и на ее обложку — в первом пункте меню;</w:t>
      </w:r>
    </w:p>
    <w:p>
      <w:pPr>
        <w:pStyle w:val="Normal"/>
        <w:numPr>
          <w:ilvl w:val="0"/>
          <w:numId w:val="11"/>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электронную форму ПОС для выявления мнения пользователей, в том числе путем опросов и голосований, и на ее обложку — во втором пункте меню;</w:t>
      </w:r>
    </w:p>
    <w:p>
      <w:pPr>
        <w:pStyle w:val="Normal"/>
        <w:numPr>
          <w:ilvl w:val="0"/>
          <w:numId w:val="11"/>
        </w:numPr>
        <w:spacing w:lineRule="auto" w:line="240" w:before="0" w:after="0"/>
        <w:ind w:left="171" w:hanging="360"/>
        <w:rPr>
          <w:rFonts w:ascii="Times New Roman" w:hAnsi="Times New Roman"/>
          <w:sz w:val="24"/>
          <w:szCs w:val="24"/>
        </w:rPr>
      </w:pPr>
      <w:r>
        <w:rPr>
          <w:rFonts w:eastAsia="Times New Roman" w:cs="Arial" w:ascii="Times New Roman" w:hAnsi="Times New Roman"/>
          <w:color w:val="222222"/>
          <w:sz w:val="24"/>
          <w:szCs w:val="24"/>
        </w:rPr>
        <w:t>ключевые тематические разделы официальной страницы, содержащие информацию о Школе.</w:t>
      </w:r>
    </w:p>
    <w:p>
      <w:pPr>
        <w:pStyle w:val="Normal"/>
        <w:spacing w:lineRule="auto" w:line="240" w:before="0" w:after="142"/>
        <w:rPr>
          <w:rFonts w:ascii="Times New Roman" w:hAnsi="Times New Roman"/>
          <w:sz w:val="24"/>
          <w:szCs w:val="24"/>
        </w:rPr>
      </w:pPr>
      <w:r>
        <w:rPr>
          <w:rFonts w:eastAsia="Times New Roman" w:cs="Arial" w:ascii="Times New Roman" w:hAnsi="Times New Roman"/>
          <w:color w:val="222222"/>
          <w:sz w:val="24"/>
          <w:szCs w:val="24"/>
        </w:rPr>
        <w:t>Ответственный за госпаблик ежеквартально проводит опросы пользователей социальной сети по темам удовлетворенности контентом госпаблика и работой Школы. Анализ опросов показал, что к концу 2024 года удовлетворенность родителей работой Школы увеличилась на 4 %, обучающихся — на 6%.</w:t>
      </w:r>
    </w:p>
    <w:p>
      <w:pPr>
        <w:pStyle w:val="Normal"/>
        <w:spacing w:lineRule="auto" w:line="240" w:before="0" w:after="142"/>
        <w:jc w:val="center"/>
        <w:rPr>
          <w:rFonts w:ascii="Times New Roman" w:hAnsi="Times New Roman"/>
          <w:sz w:val="24"/>
          <w:szCs w:val="24"/>
        </w:rPr>
      </w:pPr>
      <w:r>
        <w:rPr>
          <w:rFonts w:eastAsia="Times New Roman" w:cs="Arial" w:ascii="Times New Roman" w:hAnsi="Times New Roman"/>
          <w:b/>
          <w:bCs/>
          <w:color w:val="222222"/>
          <w:sz w:val="24"/>
          <w:szCs w:val="24"/>
        </w:rPr>
        <w:t>VIII. Оценка материально-технической базы</w:t>
      </w:r>
    </w:p>
    <w:p>
      <w:pPr>
        <w:pStyle w:val="Normal"/>
        <w:spacing w:before="0" w:after="0"/>
        <w:rPr>
          <w:rFonts w:ascii="Times New Roman" w:hAnsi="Times New Roman"/>
          <w:sz w:val="24"/>
          <w:szCs w:val="24"/>
        </w:rPr>
      </w:pPr>
      <w:r>
        <w:rPr>
          <w:rFonts w:cs="Times New Roman" w:ascii="Times New Roman" w:hAnsi="Times New Roman"/>
          <w:sz w:val="24"/>
          <w:szCs w:val="24"/>
        </w:rPr>
        <w:t xml:space="preserve">Материально-техническое обеспечение Школы позволяет в полном объеме на должном уровне реализовывать  образовательные программы начального общего, основного общего и среднего общего образования.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pPr>
      <w:r>
        <w:rPr>
          <w:rFonts w:cs="Times New Roman" w:ascii="Times New Roman" w:hAnsi="Times New Roman"/>
          <w:sz w:val="24"/>
          <w:szCs w:val="24"/>
        </w:rPr>
        <w:t xml:space="preserve">В 2024 году </w:t>
      </w:r>
      <w:r>
        <w:rPr>
          <w:rStyle w:val="C0"/>
          <w:rFonts w:cs="Times New Roman" w:ascii="Times New Roman" w:hAnsi="Times New Roman"/>
          <w:color w:val="000000"/>
          <w:sz w:val="24"/>
          <w:szCs w:val="24"/>
        </w:rPr>
        <w:t>в рамках реализации федеральной программы «Развитие образования» проведен капитальный ремонт  Школы, в рамках которого отремонтированы все помещения  основного здания и спортивный зал, произведена замена системы подачи воды и водоотведения, отопления, электрификации, осуществлен ремонт фасада основного здания и утепление спортивного зала.</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pPr>
      <w:r>
        <w:rPr>
          <w:rStyle w:val="C0"/>
          <w:rFonts w:cs="Times New Roman" w:ascii="Times New Roman" w:hAnsi="Times New Roman"/>
          <w:color w:val="000000"/>
          <w:sz w:val="24"/>
          <w:szCs w:val="24"/>
        </w:rPr>
        <w:t xml:space="preserve">В помещения основного здания и спортивного зала закуплена необходимая мебель и современное оборудование </w:t>
      </w:r>
      <w:r>
        <w:rPr>
          <w:rFonts w:cs="Times New Roman" w:ascii="Times New Roman" w:hAnsi="Times New Roman"/>
          <w:color w:val="000000"/>
          <w:sz w:val="24"/>
          <w:szCs w:val="24"/>
        </w:rPr>
        <w:t xml:space="preserve"> в соответствии с Перечнем средств обучения и воспитания, утвержденным приказом Минпросвещения от 06.09.2022 № 804.</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cs="Times New Roman" w:ascii="Times New Roman" w:hAnsi="Times New Roman"/>
          <w:color w:val="000000"/>
          <w:sz w:val="24"/>
          <w:szCs w:val="24"/>
        </w:rPr>
        <w:t xml:space="preserve">В рекреациях установили: гардероб на 360 мест; лавочки и диваны для сидения; столы модульные регулируемый по высоте, стулья  ученические  регулируемые по высоте; зеркала.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cs="Times New Roman" w:ascii="Times New Roman" w:hAnsi="Times New Roman"/>
          <w:color w:val="000000"/>
          <w:sz w:val="24"/>
          <w:szCs w:val="24"/>
        </w:rPr>
        <w:t xml:space="preserve">На первом этаже оборудовали зону отдыха для педагогов с диванами, конференц-столом и стульями.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cs="Times New Roman" w:ascii="Times New Roman" w:hAnsi="Times New Roman"/>
          <w:color w:val="000000"/>
          <w:sz w:val="24"/>
          <w:szCs w:val="24"/>
        </w:rPr>
        <w:t xml:space="preserve">Оборудовали в отдельном помещении Центр детских инициатив.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cs="Times New Roman" w:ascii="Times New Roman" w:hAnsi="Times New Roman"/>
          <w:color w:val="000000"/>
          <w:sz w:val="24"/>
          <w:szCs w:val="24"/>
        </w:rPr>
        <w:t xml:space="preserve">Для проведения школьных мероприятий закуплено музыкальное оборудование, синтезатор, экран большого размера.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cs="Times New Roman" w:ascii="Times New Roman" w:hAnsi="Times New Roman"/>
          <w:color w:val="000000"/>
          <w:sz w:val="24"/>
          <w:szCs w:val="24"/>
        </w:rPr>
        <w:t>В каждый из учебных кабинетов основного здания приобретены: столы ученические регулируемые по высоте, стулья ученические регулируемые по высоте, шкафы для хранения учебных пособий и оборудования, столы  стулья для учителей, доски для мела магнитно-маркерные 3-х элементные, доски магнитно-маркерные, компьютеры, проекторы, принтеры, экраны.</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cs="Times New Roman" w:ascii="Times New Roman" w:hAnsi="Times New Roman"/>
          <w:color w:val="000000"/>
          <w:sz w:val="24"/>
          <w:szCs w:val="24"/>
        </w:rPr>
        <w:t xml:space="preserve">Для кабинета основ безопасности и защиты Родины закуплены: </w:t>
      </w:r>
    </w:p>
    <w:p>
      <w:pPr>
        <w:pStyle w:val="Normal"/>
        <w:spacing w:before="0" w:after="0"/>
        <w:rPr>
          <w:rFonts w:ascii="Times New Roman" w:hAnsi="Times New Roman"/>
          <w:sz w:val="24"/>
          <w:szCs w:val="24"/>
        </w:rPr>
      </w:pPr>
      <w:r>
        <w:rPr>
          <w:rFonts w:cs="Times New Roman" w:ascii="Times New Roman" w:hAnsi="Times New Roman"/>
          <w:color w:val="000000"/>
          <w:sz w:val="24"/>
          <w:szCs w:val="24"/>
        </w:rPr>
        <w:t>- цифровая лаборатория по основам безопасности жизнедеятельности,</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xml:space="preserve">-защитный костюм ОЗК, </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противогазы взрослые  фильтрующе-поглощающие,</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макеты гранаты Ф-1,</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макеты гранаты РГД-5,</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комплект массо-габаритных моделей оружия,</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магазин к автомату Калашникова с учебными патронами,</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стрелковый тренажер,</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тренажер для оказания первой помощи на месте происшествия,</w:t>
      </w:r>
    </w:p>
    <w:p>
      <w:pPr>
        <w:pStyle w:val="Normal"/>
        <w:spacing w:before="0" w:after="0"/>
        <w:rPr>
          <w:rFonts w:ascii="Times New Roman" w:hAnsi="Times New Roman"/>
          <w:sz w:val="24"/>
          <w:szCs w:val="24"/>
        </w:rPr>
      </w:pPr>
      <w:r>
        <w:rPr>
          <w:rFonts w:eastAsia="Calibri" w:cs="Times New Roman" w:ascii="Times New Roman" w:hAnsi="Times New Roman"/>
          <w:color w:val="000000"/>
          <w:sz w:val="24"/>
          <w:szCs w:val="24"/>
          <w:lang w:eastAsia="en-US"/>
        </w:rPr>
        <w:t>- тренажер для освоения навыков сердечно-легочной реанимации взрослого и ребенка.</w:t>
      </w:r>
    </w:p>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xml:space="preserve">В кабинет биологии и географии приобретены: </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глобусы Земли физические,</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глобусы Земли политические,</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интерактивный глобус,</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теллурий,</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модель строения земных  складок  и эволюции рельефа,</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модель движения океанических плит,</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модель вулкана,</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комплект анатомических моделей демонстрационный,</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набор палеонтологических муляжей,</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скелет человека,</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торс  человека разборный,</w:t>
      </w:r>
    </w:p>
    <w:p>
      <w:pPr>
        <w:pStyle w:val="Normal"/>
        <w:spacing w:before="0" w:after="0"/>
        <w:rPr>
          <w:rFonts w:ascii="Times New Roman" w:hAnsi="Times New Roman" w:cs="Times New Roman"/>
          <w:color w:val="000000"/>
          <w:sz w:val="24"/>
          <w:szCs w:val="24"/>
        </w:rPr>
      </w:pPr>
      <w:r>
        <w:rPr>
          <w:rFonts w:eastAsia="Calibri" w:cs="Times New Roman" w:ascii="Times New Roman" w:hAnsi="Times New Roman"/>
          <w:color w:val="000000"/>
          <w:sz w:val="24"/>
          <w:szCs w:val="24"/>
          <w:lang w:eastAsia="en-US"/>
        </w:rPr>
        <w:t>- комплект скелетов различных классов животных.</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color w:val="000000"/>
          <w:sz w:val="24"/>
          <w:szCs w:val="24"/>
        </w:rPr>
      </w:pPr>
      <w:r>
        <w:rPr>
          <w:rFonts w:cs="Times New Roman" w:ascii="Times New Roman" w:hAnsi="Times New Roman"/>
          <w:color w:val="000000"/>
          <w:sz w:val="24"/>
          <w:szCs w:val="24"/>
        </w:rPr>
        <w:t xml:space="preserve">Для  спортзала закуплены: </w:t>
      </w:r>
    </w:p>
    <w:p>
      <w:pPr>
        <w:pStyle w:val="Normal"/>
        <w:spacing w:before="0" w:after="0"/>
        <w:ind w:right="180" w:hanging="0"/>
        <w:contextualSpacing/>
        <w:jc w:val="both"/>
        <w:rPr>
          <w:rFonts w:ascii="Times New Roman" w:hAnsi="Times New Roman"/>
          <w:color w:val="000000"/>
          <w:sz w:val="24"/>
          <w:szCs w:val="24"/>
        </w:rPr>
      </w:pPr>
      <w:r>
        <w:rPr>
          <w:rFonts w:eastAsia="Calibri" w:cs="Times New Roman" w:ascii="Times New Roman" w:hAnsi="Times New Roman"/>
          <w:color w:val="000000"/>
          <w:sz w:val="24"/>
          <w:szCs w:val="24"/>
          <w:lang w:eastAsia="en-US"/>
        </w:rPr>
        <w:t>- стеллаж для инвентаря пристенный</w:t>
      </w:r>
      <w:r>
        <w:rPr>
          <w:rFonts w:cs="Times New Roman" w:ascii="Times New Roman" w:hAnsi="Times New Roman"/>
          <w:color w:val="000000"/>
          <w:sz w:val="24"/>
          <w:szCs w:val="24"/>
        </w:rPr>
        <w:t>;</w:t>
      </w:r>
    </w:p>
    <w:p>
      <w:pPr>
        <w:pStyle w:val="Normal"/>
        <w:spacing w:before="0" w:after="0"/>
        <w:ind w:right="180" w:hanging="0"/>
        <w:contextualSpacing/>
        <w:jc w:val="both"/>
        <w:rPr>
          <w:rFonts w:ascii="Times New Roman" w:hAnsi="Times New Roman"/>
          <w:color w:val="000000"/>
          <w:sz w:val="24"/>
          <w:szCs w:val="24"/>
        </w:rPr>
      </w:pPr>
      <w:r>
        <w:rPr>
          <w:rFonts w:eastAsia="Calibri" w:cs="Times New Roman" w:ascii="Times New Roman" w:hAnsi="Times New Roman"/>
          <w:color w:val="000000"/>
          <w:sz w:val="24"/>
          <w:szCs w:val="24"/>
          <w:lang w:eastAsia="en-US"/>
        </w:rPr>
        <w:t xml:space="preserve">- стеллаж для мячей односторонний, </w:t>
      </w:r>
    </w:p>
    <w:p>
      <w:pPr>
        <w:pStyle w:val="Normal"/>
        <w:spacing w:before="0" w:after="0"/>
        <w:ind w:right="180" w:hanging="0"/>
        <w:contextualSpacing/>
        <w:jc w:val="both"/>
        <w:rPr>
          <w:rFonts w:ascii="Times New Roman" w:hAnsi="Times New Roman"/>
          <w:color w:val="000000"/>
          <w:sz w:val="24"/>
          <w:szCs w:val="24"/>
        </w:rPr>
      </w:pPr>
      <w:r>
        <w:rPr>
          <w:rFonts w:eastAsia="Calibri" w:cs="Times New Roman" w:ascii="Times New Roman" w:hAnsi="Times New Roman"/>
          <w:color w:val="000000"/>
          <w:sz w:val="24"/>
          <w:szCs w:val="24"/>
          <w:lang w:eastAsia="en-US"/>
        </w:rPr>
        <w:t>- стойка волейбольная настенная,</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ворота для мини-футбола пристенные  с креплением  к стене с сеткой,</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фермы для щита баскетбольного настенные,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мячи волейбольные,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мячи баскетбольные,</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скамейки  гимнастические  универсальные,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маты гимнастические,</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стенка шведская,</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перекладина навесная универсальная,</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дорожка для прыжков в длину,</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табло электронное игровое универсальное  с защитным экраном.</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В кабинеты математики приобретены: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наборы прозрачных геометрических тел с сечением,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комплекты инструментов классных с магнитными держателями.</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В  кабинеты русского языка и литературы закуплены: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комплекты словарей языковых фундаментальных,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словари школьные раздаточные для 5-11 классов,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комплекты  репродукций картин для уроков развития речи и литературы.</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В кабинеты английского языка приобретены: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xml:space="preserve">- словари по  иностранному языку, </w:t>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 демонстрационные пособия по иностранному языку для начальной школы.</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В кабинет химии приобретена Периодическая система химических элементов Д.И. Менделеева электронная.</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Санузлы оборудованы электросушилками для рук, педальными ведрами, держателями для туалетной бумаги и полотенц.</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Впервые оборудован санузел для маломобильных групп населения.</w:t>
      </w:r>
    </w:p>
    <w:p>
      <w:pPr>
        <w:pStyle w:val="Normal"/>
        <w:spacing w:before="0" w:after="0"/>
        <w:ind w:right="18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ind w:right="180" w:hanging="0"/>
        <w:contextualSpacing/>
        <w:jc w:val="both"/>
        <w:rPr>
          <w:rFonts w:ascii="Times New Roman" w:hAnsi="Times New Roman"/>
          <w:sz w:val="24"/>
          <w:szCs w:val="24"/>
        </w:rPr>
      </w:pPr>
      <w:r>
        <w:rPr>
          <w:rFonts w:eastAsia="Calibri" w:cs="Times New Roman" w:ascii="Times New Roman" w:hAnsi="Times New Roman"/>
          <w:color w:val="000000"/>
          <w:sz w:val="24"/>
          <w:szCs w:val="24"/>
          <w:lang w:eastAsia="en-US"/>
        </w:rPr>
        <w:t>Помещение для приготовления дезрастворов и хранения уборочного инвентаря обрудовано шкафами металлическими.</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pPr>
      <w:r>
        <w:rPr>
          <w:rStyle w:val="C0"/>
          <w:rFonts w:ascii="Times New Roman" w:hAnsi="Times New Roman"/>
          <w:color w:val="000000"/>
          <w:sz w:val="24"/>
          <w:szCs w:val="24"/>
        </w:rPr>
        <w:t>Б</w:t>
      </w:r>
      <w:r>
        <w:rPr>
          <w:rStyle w:val="C0"/>
          <w:rFonts w:cs="Times New Roman" w:ascii="Times New Roman" w:hAnsi="Times New Roman"/>
          <w:color w:val="000000"/>
          <w:sz w:val="24"/>
          <w:szCs w:val="24"/>
        </w:rPr>
        <w:t>лагодаря реализации проекта Волгоградского регионального отделения партии «ЕДИНАЯ РОССИЯ» обустроена площадка для проведения линеек.</w:t>
      </w:r>
    </w:p>
    <w:p>
      <w:pPr>
        <w:pStyle w:val="C6"/>
        <w:spacing w:before="0" w:after="0"/>
        <w:jc w:val="both"/>
        <w:rPr>
          <w:rFonts w:ascii="Times New Roman" w:hAnsi="Times New Roman"/>
          <w:sz w:val="24"/>
          <w:szCs w:val="24"/>
        </w:rPr>
      </w:pPr>
      <w:r>
        <w:rPr>
          <w:rFonts w:ascii="Times New Roman" w:hAnsi="Times New Roman"/>
          <w:sz w:val="24"/>
          <w:szCs w:val="24"/>
        </w:rPr>
      </w:r>
    </w:p>
    <w:p>
      <w:pPr>
        <w:pStyle w:val="C6"/>
        <w:spacing w:before="0" w:after="0"/>
        <w:jc w:val="both"/>
        <w:rPr/>
      </w:pPr>
      <w:r>
        <w:rPr>
          <w:rStyle w:val="C0"/>
          <w:rFonts w:cs="Times New Roman" w:ascii="Times New Roman" w:hAnsi="Times New Roman"/>
          <w:color w:val="000000"/>
          <w:sz w:val="24"/>
          <w:szCs w:val="24"/>
        </w:rPr>
        <w:t>Имеющийся медицинский кабинет соответствует требованиям. Медицинская деятельность  лицензирована.</w:t>
      </w:r>
    </w:p>
    <w:p>
      <w:pPr>
        <w:pStyle w:val="C6"/>
        <w:spacing w:before="0" w:after="0"/>
        <w:jc w:val="both"/>
        <w:rPr>
          <w:rFonts w:ascii="Times New Roman" w:hAnsi="Times New Roman"/>
          <w:sz w:val="24"/>
          <w:szCs w:val="24"/>
        </w:rPr>
      </w:pPr>
      <w:r>
        <w:rPr>
          <w:rFonts w:ascii="Times New Roman" w:hAnsi="Times New Roman"/>
          <w:sz w:val="24"/>
          <w:szCs w:val="24"/>
        </w:rPr>
      </w:r>
    </w:p>
    <w:p>
      <w:pPr>
        <w:pStyle w:val="C6"/>
        <w:spacing w:before="0" w:after="0"/>
        <w:jc w:val="both"/>
        <w:rPr/>
      </w:pPr>
      <w:r>
        <w:rPr>
          <w:rStyle w:val="C0"/>
          <w:rFonts w:cs="Times New Roman" w:ascii="Times New Roman" w:hAnsi="Times New Roman"/>
          <w:color w:val="000000"/>
          <w:sz w:val="24"/>
          <w:szCs w:val="24"/>
        </w:rPr>
        <w:t>Несмотря на принятые в 2024 году бесперецендентные меры по ремонту и оснащению школы мебелью и оборудованием, имеется ряд проблем:</w:t>
      </w:r>
    </w:p>
    <w:p>
      <w:pPr>
        <w:pStyle w:val="C6"/>
        <w:spacing w:before="0" w:after="0"/>
        <w:jc w:val="both"/>
        <w:rPr/>
      </w:pPr>
      <w:r>
        <w:rPr>
          <w:rStyle w:val="C0"/>
          <w:rFonts w:cs="Times New Roman" w:ascii="Times New Roman" w:hAnsi="Times New Roman"/>
          <w:color w:val="000000"/>
          <w:sz w:val="24"/>
          <w:szCs w:val="24"/>
        </w:rPr>
        <w:t>1. количество учебных кабинетов (18) недостаточно для обучения учащихся в одну смену;</w:t>
      </w:r>
    </w:p>
    <w:p>
      <w:pPr>
        <w:pStyle w:val="C6"/>
        <w:spacing w:before="0" w:after="0"/>
        <w:jc w:val="both"/>
        <w:rPr/>
      </w:pPr>
      <w:r>
        <w:rPr>
          <w:rStyle w:val="C0"/>
          <w:rFonts w:cs="Times New Roman" w:ascii="Times New Roman" w:hAnsi="Times New Roman"/>
          <w:color w:val="000000"/>
          <w:sz w:val="24"/>
          <w:szCs w:val="24"/>
        </w:rPr>
        <w:t>2. требуется капитальный ремонт, а также необходимость в оснащении мебелью и оборудованием 6 учебных кабинетов)  начальных классов (пристройка);</w:t>
      </w:r>
    </w:p>
    <w:p>
      <w:pPr>
        <w:pStyle w:val="C6"/>
        <w:spacing w:before="0" w:after="0"/>
        <w:jc w:val="both"/>
        <w:rPr/>
      </w:pPr>
      <w:r>
        <w:rPr>
          <w:rStyle w:val="C0"/>
          <w:rFonts w:cs="Times New Roman" w:ascii="Times New Roman" w:hAnsi="Times New Roman"/>
          <w:color w:val="000000"/>
          <w:sz w:val="24"/>
          <w:szCs w:val="24"/>
        </w:rPr>
        <w:t>3. пищеблок  Школы,  расположенный  в отдельно стоящем здании и   приспособленнный  из буфета-раздатки, современным требованиям не отвечает (минимальное количество цехов, отсутствие  помещений для качественного хранения продукции, в том числе овощной). Малое количество посадочных мест (80) в зале приема пищи создает трудности  в организации горячего  питания  учеников Школы.</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eastAsia="Times New Roman" w:cs="Arial" w:ascii="Times New Roman" w:hAnsi="Times New Roman"/>
          <w:b/>
          <w:bCs/>
          <w:color w:val="222222"/>
          <w:sz w:val="24"/>
          <w:szCs w:val="24"/>
        </w:rPr>
        <w:t>IX. Оценка функционирования внутренней системы оценки качества образования</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 2024 скорректировали внутреннюю систему оценки качества образования (ВСОКО) на основании Методология оценки качества общего образования, утвержденной Минпросвещения. При формировании новой модели ВСОКО Школа также учитывала процедуры федерального и регионального контроля (надзора) в сфере образования, в том числе аккредитационного мониторинга.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ВСОКО Школы предусматривает четыре группы направлений оценки: успешность обучающихся, характеристика педагогов, организация обучения и инфраструктура.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Организация и контроль работы ВСОКО возложена на и. о. заместителя директора по УР. Главный документ, в котором закреплены основные правила функционирования ВСОКО – Положение о внутренней системе оценки качества образования МОУ «СШ  №1» г.Николаевска.</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По итогам оценки качества образования в 2024 году выявлено, что уровень метапредметных результатов соответствуют среднему уровню, сформированность личностных результатов высокая.</w:t>
      </w:r>
    </w:p>
    <w:p>
      <w:pPr>
        <w:pStyle w:val="Normal"/>
        <w:spacing w:lineRule="auto" w:line="240" w:before="280" w:after="280"/>
        <w:jc w:val="both"/>
        <w:rPr>
          <w:rFonts w:ascii="Times New Roman" w:hAnsi="Times New Roman"/>
          <w:sz w:val="24"/>
          <w:szCs w:val="24"/>
        </w:rPr>
      </w:pPr>
      <w:r>
        <w:rPr>
          <w:rFonts w:eastAsia="Times New Roman" w:cs="Times New Roman" w:ascii="Times New Roman" w:hAnsi="Times New Roman"/>
          <w:color w:val="000000"/>
          <w:sz w:val="24"/>
          <w:szCs w:val="24"/>
        </w:rPr>
        <w:t xml:space="preserve">По результатам анкетирования 2024 года выявлено, что количество родителей, которые удовлетворены общим качеством образования в Школе, — 63 процента, количество обучающихся, удовлетворенных образовательным процессом, — 68 процентов. </w:t>
      </w:r>
    </w:p>
    <w:p>
      <w:pPr>
        <w:pStyle w:val="Normal"/>
        <w:spacing w:before="280" w:after="280"/>
        <w:jc w:val="both"/>
        <w:rPr>
          <w:rFonts w:ascii="Times New Roman" w:hAnsi="Times New Roman"/>
          <w:sz w:val="24"/>
          <w:szCs w:val="24"/>
        </w:rPr>
      </w:pPr>
      <w:r>
        <w:rPr>
          <w:rFonts w:cs="Times New Roman" w:ascii="Times New Roman" w:hAnsi="Times New Roman"/>
          <w:b/>
          <w:bCs/>
          <w:color w:val="000000"/>
          <w:sz w:val="24"/>
          <w:szCs w:val="24"/>
        </w:rPr>
        <w:t>Результаты анализа показателей деятельности организации</w:t>
      </w:r>
    </w:p>
    <w:p>
      <w:pPr>
        <w:pStyle w:val="Normal"/>
        <w:spacing w:before="280" w:after="280"/>
        <w:jc w:val="both"/>
        <w:rPr>
          <w:rFonts w:ascii="Times New Roman" w:hAnsi="Times New Roman"/>
          <w:sz w:val="24"/>
          <w:szCs w:val="24"/>
        </w:rPr>
      </w:pPr>
      <w:r>
        <w:rPr>
          <w:rFonts w:cs="Times New Roman" w:ascii="Times New Roman" w:hAnsi="Times New Roman"/>
          <w:color w:val="000000"/>
          <w:sz w:val="24"/>
          <w:szCs w:val="24"/>
        </w:rPr>
        <w:t>Данные приведены по состоянию на 30 декабря 2024 года.</w:t>
      </w:r>
    </w:p>
    <w:tbl>
      <w:tblPr>
        <w:tblW w:w="5000" w:type="pct"/>
        <w:jc w:val="left"/>
        <w:tblInd w:w="60" w:type="dxa"/>
        <w:tblLayout w:type="fixed"/>
        <w:tblCellMar>
          <w:top w:w="75" w:type="dxa"/>
          <w:left w:w="75" w:type="dxa"/>
          <w:bottom w:w="75" w:type="dxa"/>
          <w:right w:w="75" w:type="dxa"/>
        </w:tblCellMar>
        <w:tblLook w:firstRow="0" w:noVBand="1" w:lastRow="0" w:firstColumn="0" w:lastColumn="0" w:noHBand="1" w:val="0600"/>
      </w:tblPr>
      <w:tblGrid>
        <w:gridCol w:w="6579"/>
        <w:gridCol w:w="1422"/>
        <w:gridCol w:w="1354"/>
      </w:tblGrid>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color w:val="000000"/>
                <w:sz w:val="24"/>
                <w:szCs w:val="24"/>
              </w:rPr>
              <w:t>Показатели</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color w:val="000000"/>
                <w:sz w:val="24"/>
                <w:szCs w:val="24"/>
              </w:rPr>
              <w:t>Единица измерения</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color w:val="000000"/>
                <w:sz w:val="24"/>
                <w:szCs w:val="24"/>
              </w:rPr>
              <w:t>Количество</w:t>
            </w:r>
          </w:p>
        </w:tc>
      </w:tr>
      <w:tr>
        <w:trPr/>
        <w:tc>
          <w:tcPr>
            <w:tcW w:w="9355" w:type="dxa"/>
            <w:gridSpan w:val="3"/>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b/>
                <w:bCs/>
                <w:color w:val="000000"/>
                <w:sz w:val="24"/>
                <w:szCs w:val="24"/>
              </w:rPr>
              <w:t>Образовательная деятельность</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Общая численность учащихся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lang w:val="en-US"/>
              </w:rPr>
            </w:pPr>
            <w:r>
              <w:rPr>
                <w:rFonts w:cs="Times New Roman" w:ascii="Times New Roman" w:hAnsi="Times New Roman"/>
                <w:color w:val="000000"/>
                <w:sz w:val="24"/>
                <w:szCs w:val="24"/>
                <w:lang w:val="en-US"/>
              </w:rPr>
              <w:t>576</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учащихся по образовательной программе начального общего образования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lang w:val="en-US"/>
              </w:rPr>
            </w:pPr>
            <w:r>
              <w:rPr>
                <w:rFonts w:cs="Times New Roman" w:ascii="Times New Roman" w:hAnsi="Times New Roman"/>
                <w:color w:val="000000"/>
                <w:sz w:val="24"/>
                <w:szCs w:val="24"/>
                <w:lang w:val="en-US"/>
              </w:rPr>
              <w:t>209</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учащихся по образовательной программе основного общего образования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lang w:val="en-US"/>
              </w:rPr>
            </w:pPr>
            <w:r>
              <w:rPr>
                <w:rFonts w:cs="Times New Roman" w:ascii="Times New Roman" w:hAnsi="Times New Roman"/>
                <w:color w:val="000000"/>
                <w:sz w:val="24"/>
                <w:szCs w:val="24"/>
                <w:lang w:val="en-US"/>
              </w:rPr>
              <w:t>313</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учащихся по образовательной программе среднего общего образования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lang w:val="en-US"/>
              </w:rPr>
            </w:pPr>
            <w:r>
              <w:rPr>
                <w:rFonts w:cs="Times New Roman" w:ascii="Times New Roman" w:hAnsi="Times New Roman"/>
                <w:color w:val="000000"/>
                <w:sz w:val="24"/>
                <w:szCs w:val="24"/>
                <w:lang w:val="en-US"/>
              </w:rPr>
              <w:t>49</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210 (43,75%)</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Средний балл ГИА выпускников 9 класса по русскому языку</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3,8</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Средний балл ГИА выпускников 9 класса по математике</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3,5</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Средний балл ЕГЭ выпускников 11 класса по русскому языку</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rPr>
            </w:pPr>
            <w:r>
              <w:rPr>
                <w:rFonts w:cs="Times New Roman" w:ascii="Times New Roman" w:hAnsi="Times New Roman"/>
              </w:rPr>
              <w:t>69</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Средний балл ЕГЭ выпускников 11 класса по математике (профильной)</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rPr>
            </w:pPr>
            <w:r>
              <w:rPr>
                <w:rFonts w:cs="Times New Roman" w:ascii="Times New Roman" w:hAnsi="Times New Roman"/>
              </w:rPr>
              <w:t>66</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4 (8%)</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1 (2%)</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Pr>
                <w:rFonts w:ascii="Times New Roman" w:hAnsi="Times New Roman"/>
                <w:sz w:val="24"/>
                <w:szCs w:val="24"/>
              </w:rPr>
              <w:br/>
            </w:r>
            <w:r>
              <w:rPr>
                <w:rFonts w:cs="Times New Roman" w:ascii="Times New Roman" w:hAnsi="Times New Roman"/>
                <w:sz w:val="24"/>
                <w:szCs w:val="24"/>
              </w:rPr>
              <w:t>выпускников 11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lang w:val="en-US"/>
              </w:rPr>
              <w:t>0</w:t>
            </w:r>
            <w:r>
              <w:rPr>
                <w:rFonts w:cs="Times New Roman" w:ascii="Times New Roman" w:hAnsi="Times New Roman"/>
                <w:sz w:val="24"/>
                <w:szCs w:val="24"/>
              </w:rPr>
              <w:t xml:space="preserve"> (</w:t>
            </w:r>
            <w:r>
              <w:rPr>
                <w:rFonts w:cs="Times New Roman" w:ascii="Times New Roman" w:hAnsi="Times New Roman"/>
                <w:sz w:val="24"/>
                <w:szCs w:val="24"/>
                <w:lang w:val="en-US"/>
              </w:rPr>
              <w:t>0</w:t>
            </w:r>
            <w:r>
              <w:rPr>
                <w:rFonts w:cs="Times New Roman" w:ascii="Times New Roman" w:hAnsi="Times New Roman"/>
                <w:sz w:val="24"/>
                <w:szCs w:val="24"/>
              </w:rPr>
              <w:t>%)</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2 (4%)</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sz w:val="24"/>
                <w:szCs w:val="24"/>
              </w:rPr>
              <w:t>4 (8%)</w:t>
            </w:r>
            <w:bookmarkStart w:id="0" w:name="_GoBack"/>
            <w:bookmarkEnd w:id="0"/>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69 (11,9%)</w:t>
            </w:r>
          </w:p>
        </w:tc>
      </w:tr>
      <w:tr>
        <w:trPr/>
        <w:tc>
          <w:tcPr>
            <w:tcW w:w="6579"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6579"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регионального уровня</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12 (2%)</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федерального уровня</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международного уровня</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(удельный вес) учащихся по программам профильного обучения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Общая численность педработников, в том числе количество педработников:</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w:t>
            </w:r>
          </w:p>
        </w:tc>
        <w:tc>
          <w:tcPr>
            <w:tcW w:w="1354"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6579"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с высшим образованием</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26</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высшим педагогическим образованием</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26</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средним профессиональным образованием</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2</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средним профессиональным педагогическим образованием</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1</w:t>
            </w:r>
          </w:p>
        </w:tc>
      </w:tr>
      <w:tr>
        <w:trPr/>
        <w:tc>
          <w:tcPr>
            <w:tcW w:w="6579"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t>4 (14,3%)</w:t>
            </w:r>
          </w:p>
        </w:tc>
      </w:tr>
      <w:tr>
        <w:trPr/>
        <w:tc>
          <w:tcPr>
            <w:tcW w:w="6579"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с высшей</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3 (10,7%)</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первой</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1  (3,6%)</w:t>
            </w:r>
          </w:p>
        </w:tc>
      </w:tr>
      <w:tr>
        <w:trPr/>
        <w:tc>
          <w:tcPr>
            <w:tcW w:w="6579"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Численность (удельный вес) педработников от общей численности таких работников с педагогическим стажем:</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6579"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до 5 лет</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3 (10,7%)</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больше 30 лет</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3 (10,7%)</w:t>
            </w:r>
          </w:p>
        </w:tc>
      </w:tr>
      <w:tr>
        <w:trPr/>
        <w:tc>
          <w:tcPr>
            <w:tcW w:w="6579"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Численность (удельный вес) педработников от общей численности таких работников в возрасте:</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6579"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до 30 лет</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0 (0%)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от 55 лет</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3 (10,7%)</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color w:val="000000"/>
              </w:rPr>
            </w:pPr>
            <w:r>
              <w:rPr>
                <w:rFonts w:cs="Times New Roman" w:ascii="Times New Roman" w:hAnsi="Times New Roman"/>
                <w:color w:val="000000"/>
              </w:rPr>
              <w:t>29 (100%)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s="Times New Roman"/>
                <w:color w:val="000000"/>
              </w:rPr>
            </w:pPr>
            <w:r>
              <w:rPr>
                <w:rFonts w:cs="Times New Roman" w:ascii="Times New Roman" w:hAnsi="Times New Roman"/>
                <w:color w:val="000000"/>
              </w:rPr>
              <w:t>25 (86,2%)</w:t>
            </w:r>
          </w:p>
        </w:tc>
      </w:tr>
      <w:tr>
        <w:trPr/>
        <w:tc>
          <w:tcPr>
            <w:tcW w:w="9355" w:type="dxa"/>
            <w:gridSpan w:val="3"/>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b/>
                <w:bCs/>
                <w:color w:val="000000"/>
                <w:sz w:val="24"/>
                <w:szCs w:val="24"/>
              </w:rPr>
              <w:t>Инфраструктура</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Количество компьютеров в расчете на одного учащегося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единиц</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0,07</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единиц</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7</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Наличие в Школе системы электронного документооборота</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да/нет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да</w:t>
            </w:r>
          </w:p>
        </w:tc>
      </w:tr>
      <w:tr>
        <w:trPr/>
        <w:tc>
          <w:tcPr>
            <w:tcW w:w="6579"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Наличие в Школе читального зала библиотеки, в том числе наличие в ней:</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да/нет</w:t>
            </w:r>
          </w:p>
        </w:tc>
        <w:tc>
          <w:tcPr>
            <w:tcW w:w="1354" w:type="dxa"/>
            <w:tcBorders>
              <w:top w:val="single" w:sz="6" w:space="0" w:color="000000"/>
              <w:left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да</w:t>
            </w:r>
          </w:p>
        </w:tc>
      </w:tr>
      <w:tr>
        <w:trPr/>
        <w:tc>
          <w:tcPr>
            <w:tcW w:w="6579"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рабочих мест для работы на компьютере или ноутбуке</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нет</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медиатеки</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нет</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средств сканирования и распознавания текста</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нет</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выхода в интернет с библиотечных компьютеров</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нет</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 </w:t>
            </w:r>
            <w:r>
              <w:rPr>
                <w:rFonts w:cs="Times New Roman" w:ascii="Times New Roman" w:hAnsi="Times New Roman"/>
                <w:color w:val="000000"/>
                <w:sz w:val="24"/>
                <w:szCs w:val="24"/>
              </w:rPr>
              <w:t>системы контроля распечатки материалов</w:t>
            </w:r>
          </w:p>
        </w:tc>
        <w:tc>
          <w:tcPr>
            <w:tcW w:w="1422"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ind w:left="75" w:right="75"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нет</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576 (100%)</w:t>
            </w:r>
          </w:p>
        </w:tc>
      </w:tr>
      <w:tr>
        <w:trPr/>
        <w:tc>
          <w:tcPr>
            <w:tcW w:w="6579"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Общая площадь помещений для образовательного процесса в расчете на одного обучающегося</w:t>
            </w:r>
          </w:p>
        </w:tc>
        <w:tc>
          <w:tcPr>
            <w:tcW w:w="1422"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кв. м</w:t>
            </w:r>
          </w:p>
        </w:tc>
        <w:tc>
          <w:tcPr>
            <w:tcW w:w="1354" w:type="dxa"/>
            <w:tcBorders>
              <w:top w:val="single" w:sz="6" w:space="0" w:color="000000"/>
              <w:left w:val="single" w:sz="6" w:space="0" w:color="000000"/>
              <w:bottom w:val="single" w:sz="6" w:space="0" w:color="000000"/>
              <w:right w:val="single" w:sz="6" w:space="0" w:color="000000"/>
            </w:tcBorders>
          </w:tcPr>
          <w:p>
            <w:pPr>
              <w:pStyle w:val="Normal"/>
              <w:widowControl w:val="false"/>
              <w:spacing w:before="0" w:after="0"/>
              <w:rPr>
                <w:rFonts w:ascii="Times New Roman" w:hAnsi="Times New Roman"/>
                <w:color w:val="000000"/>
                <w:sz w:val="24"/>
                <w:szCs w:val="24"/>
              </w:rPr>
            </w:pPr>
            <w:r>
              <w:rPr>
                <w:rFonts w:cs="Times New Roman" w:ascii="Times New Roman" w:hAnsi="Times New Roman"/>
                <w:color w:val="000000"/>
                <w:sz w:val="24"/>
                <w:szCs w:val="24"/>
              </w:rPr>
              <w:t>2,3</w:t>
            </w:r>
          </w:p>
        </w:tc>
      </w:tr>
    </w:tbl>
    <w:p>
      <w:pPr>
        <w:pStyle w:val="Normal"/>
        <w:spacing w:before="280" w:after="280"/>
        <w:jc w:val="both"/>
        <w:rPr>
          <w:b w:val="false"/>
          <w:b w:val="false"/>
          <w:bCs w:val="false"/>
          <w:color w:val="000000"/>
        </w:rPr>
      </w:pPr>
      <w:r>
        <w:rPr>
          <w:rFonts w:cs="Times New Roman" w:ascii="Times New Roman" w:hAnsi="Times New Roman"/>
          <w:b w:val="false"/>
          <w:bCs w:val="false"/>
          <w:color w:val="000000"/>
          <w:sz w:val="24"/>
          <w:szCs w:val="24"/>
        </w:rPr>
        <w:t xml:space="preserve">Анализ показателей указывает н а то, что Школа имеет достаточную инфраструктуру, которая </w:t>
      </w:r>
      <w:bookmarkStart w:id="1" w:name="_GoBack1"/>
      <w:r>
        <w:rPr>
          <w:rFonts w:cs="Times New Roman" w:ascii="Times New Roman" w:hAnsi="Times New Roman"/>
          <w:b w:val="false"/>
          <w:bCs w:val="false"/>
          <w:color w:val="000000"/>
          <w:sz w:val="24"/>
          <w:szCs w:val="24"/>
        </w:rPr>
        <w:t>позволяет реализовывать образовательные программы в полном объеме в соответствии с ФГОС НОО, ООО и СОО, ФОП НОО, ООО и СОО. Вместе с тем необходим существенный ремонт пристройки к основному зданию (6 кабинетов начальных классов), а также решение проблемы по  пищеблоку</w:t>
      </w:r>
      <w:bookmarkEnd w:id="1"/>
      <w:r>
        <w:rPr>
          <w:rFonts w:cs="Times New Roman" w:ascii="Times New Roman" w:hAnsi="Times New Roman"/>
          <w:b w:val="false"/>
          <w:bCs w:val="false"/>
          <w:color w:val="000000"/>
          <w:sz w:val="24"/>
          <w:szCs w:val="24"/>
        </w:rPr>
        <w:t xml:space="preserve"> (недостаточное количество помещений и зал приема пищи на 80 посадочных мест). </w:t>
      </w:r>
      <w:r>
        <w:rPr>
          <w:rFonts w:eastAsia="Times New Roman" w:cs="Times New Roman" w:ascii="Times New Roman" w:hAnsi="Times New Roman"/>
          <w:b w:val="false"/>
          <w:bCs w:val="false"/>
          <w:iCs/>
          <w:color w:val="000000"/>
          <w:sz w:val="24"/>
          <w:szCs w:val="24"/>
        </w:rPr>
        <w:t xml:space="preserve">Необходимо  также продолжить работу по комплектованию Школы педагогическими кадрами, имеющими  достаточную квалификацию,   для  </w:t>
      </w:r>
      <w:r>
        <w:rPr>
          <w:rFonts w:eastAsia="Times New Roman" w:cs="Times New Roman" w:ascii="Times New Roman" w:hAnsi="Times New Roman"/>
          <w:b w:val="false"/>
          <w:bCs w:val="false"/>
          <w:color w:val="000000"/>
          <w:sz w:val="24"/>
          <w:szCs w:val="24"/>
        </w:rPr>
        <w:t>обеспечения  стабильных  качественных  результатов  образовательных достижений обучающихся.</w:t>
      </w:r>
    </w:p>
    <w:p>
      <w:pPr>
        <w:pStyle w:val="Normal"/>
        <w:spacing w:lineRule="auto" w:line="240" w:before="0" w:after="142"/>
        <w:jc w:val="center"/>
        <w:rPr>
          <w:b w:val="false"/>
          <w:b w:val="false"/>
          <w:bCs w:val="false"/>
          <w:color w:val="000000"/>
        </w:rPr>
      </w:pPr>
      <w:r>
        <w:rPr/>
      </w:r>
    </w:p>
    <w:sectPr>
      <w:type w:val="nextPage"/>
      <w:pgSz w:w="11906" w:h="16838"/>
      <w:pgMar w:left="1701" w:right="850" w:gutter="0" w:header="0" w:top="1134" w:footer="0" w:bottom="1134"/>
      <w:pgNumType w:fmt="decimal"/>
      <w:formProt w:val="false"/>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Fill" w:customStyle="1">
    <w:name w:val="fill"/>
    <w:basedOn w:val="DefaultParagraphFont"/>
    <w:qFormat/>
    <w:rsid w:val="007977ed"/>
    <w:rPr/>
  </w:style>
  <w:style w:type="character" w:styleId="Sfwc" w:customStyle="1">
    <w:name w:val="sfwc"/>
    <w:basedOn w:val="DefaultParagraphFont"/>
    <w:qFormat/>
    <w:rsid w:val="007977ed"/>
    <w:rPr/>
  </w:style>
  <w:style w:type="character" w:styleId="Tooltipwrapper" w:customStyle="1">
    <w:name w:val="tooltip__wrapper"/>
    <w:basedOn w:val="DefaultParagraphFont"/>
    <w:qFormat/>
    <w:rsid w:val="007977ed"/>
    <w:rPr/>
  </w:style>
  <w:style w:type="character" w:styleId="Tooltippoint" w:customStyle="1">
    <w:name w:val="tooltip__point"/>
    <w:basedOn w:val="DefaultParagraphFont"/>
    <w:qFormat/>
    <w:rsid w:val="007977ed"/>
    <w:rPr/>
  </w:style>
  <w:style w:type="character" w:styleId="Tooltiptext" w:customStyle="1">
    <w:name w:val="tooltip_text"/>
    <w:basedOn w:val="DefaultParagraphFont"/>
    <w:qFormat/>
    <w:rsid w:val="007977ed"/>
    <w:rPr/>
  </w:style>
  <w:style w:type="character" w:styleId="Strong">
    <w:name w:val="Strong"/>
    <w:basedOn w:val="DefaultParagraphFont"/>
    <w:uiPriority w:val="22"/>
    <w:qFormat/>
    <w:rsid w:val="007977ed"/>
    <w:rPr>
      <w:b/>
      <w:bCs/>
    </w:rPr>
  </w:style>
  <w:style w:type="character" w:styleId="Style14" w:customStyle="1">
    <w:name w:val="Интернет-ссылка"/>
    <w:basedOn w:val="DefaultParagraphFont"/>
    <w:uiPriority w:val="99"/>
    <w:semiHidden/>
    <w:unhideWhenUsed/>
    <w:rsid w:val="007977ed"/>
    <w:rPr>
      <w:color w:val="0000FF"/>
      <w:u w:val="single"/>
    </w:rPr>
  </w:style>
  <w:style w:type="character" w:styleId="Style15" w:customStyle="1">
    <w:name w:val="Посещённая гиперссылка"/>
    <w:basedOn w:val="DefaultParagraphFont"/>
    <w:uiPriority w:val="99"/>
    <w:semiHidden/>
    <w:unhideWhenUsed/>
    <w:rsid w:val="007977ed"/>
    <w:rPr>
      <w:color w:val="800080"/>
      <w:u w:val="single"/>
    </w:rPr>
  </w:style>
  <w:style w:type="character" w:styleId="Recommendationsv4block" w:customStyle="1">
    <w:name w:val="recommendations-v4-block"/>
    <w:basedOn w:val="DefaultParagraphFont"/>
    <w:qFormat/>
    <w:rsid w:val="007977ed"/>
    <w:rPr/>
  </w:style>
  <w:style w:type="character" w:styleId="Recommendationsv4imagewrapper" w:customStyle="1">
    <w:name w:val="recommendations-v4-image__wrapper"/>
    <w:basedOn w:val="DefaultParagraphFont"/>
    <w:qFormat/>
    <w:rsid w:val="007977ed"/>
    <w:rPr/>
  </w:style>
  <w:style w:type="character" w:styleId="1" w:customStyle="1">
    <w:name w:val="Основной шрифт абзаца1"/>
    <w:qFormat/>
    <w:rPr/>
  </w:style>
  <w:style w:type="character" w:styleId="C0" w:customStyle="1">
    <w:name w:val="c0"/>
    <w:basedOn w:val="1"/>
    <w:qFormat/>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lang w:val="zxx" w:eastAsia="zxx" w:bidi="zxx"/>
    </w:rPr>
  </w:style>
  <w:style w:type="paragraph" w:styleId="Style21">
    <w:name w:val="Title"/>
    <w:basedOn w:val="Normal"/>
    <w:next w:val="Style17"/>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NormalWeb">
    <w:name w:val="Normal (Web)"/>
    <w:basedOn w:val="Normal"/>
    <w:uiPriority w:val="99"/>
    <w:unhideWhenUsed/>
    <w:qFormat/>
    <w:rsid w:val="007977ed"/>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qFormat/>
    <w:pPr>
      <w:spacing w:before="0" w:after="200"/>
      <w:ind w:left="720" w:hanging="0"/>
      <w:contextualSpacing/>
    </w:pPr>
    <w:rPr/>
  </w:style>
  <w:style w:type="paragraph" w:styleId="Western" w:customStyle="1">
    <w:name w:val="western"/>
    <w:basedOn w:val="Normal"/>
    <w:qFormat/>
    <w:pPr>
      <w:spacing w:lineRule="auto" w:line="240" w:before="0" w:after="135"/>
    </w:pPr>
    <w:rPr>
      <w:rFonts w:ascii="Times New Roman" w:hAnsi="Times New Roman" w:eastAsia="Times New Roman" w:cs="Times New Roman"/>
      <w:sz w:val="24"/>
      <w:szCs w:val="24"/>
    </w:rPr>
  </w:style>
  <w:style w:type="paragraph" w:styleId="Style22" w:customStyle="1">
    <w:name w:val="Содержимое таблицы"/>
    <w:basedOn w:val="Normal"/>
    <w:qFormat/>
    <w:pPr>
      <w:widowControl w:val="false"/>
      <w:suppressLineNumbers/>
    </w:pPr>
    <w:rPr/>
  </w:style>
  <w:style w:type="paragraph" w:styleId="Style23" w:customStyle="1">
    <w:name w:val="Заголовок таблицы"/>
    <w:basedOn w:val="Style22"/>
    <w:qFormat/>
    <w:pPr>
      <w:jc w:val="center"/>
    </w:pPr>
    <w:rPr>
      <w:b/>
      <w:bCs/>
    </w:rPr>
  </w:style>
  <w:style w:type="paragraph" w:styleId="C6" w:customStyle="1">
    <w:name w:val="c6"/>
    <w:basedOn w:val="Normal"/>
    <w:qFormat/>
    <w:pPr>
      <w:spacing w:before="280" w:after="28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_self" TargetMode="External"/><Relationship Id="rId4" Type="http://schemas.openxmlformats.org/officeDocument/2006/relationships/hyperlink" Target="_self"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Application>LibreOffice/7.2.6.2$Windows_x86 LibreOffice_project/b0ec3a565991f7569a5a7f5d24fed7f52653d754</Application>
  <AppVersion>15.0000</AppVersion>
  <Pages>20</Pages>
  <Words>4753</Words>
  <Characters>32468</Characters>
  <CharactersWithSpaces>36610</CharactersWithSpaces>
  <Paragraphs>720</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2024-03-19T13:46:00Z</dcterms:created>
  <dc:creator>admin</dc:creator>
  <dc:description/>
  <dc:language>ru-RU</dc:language>
  <cp:lastModifiedBy/>
  <cp:lastPrinted>2025-03-28T15:43:31Z</cp:lastPrinted>
  <dcterms:modified xsi:type="dcterms:W3CDTF">2025-03-28T15:47:01Z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